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82021120"/>
        <w:docPartObj>
          <w:docPartGallery w:val="Cover Pages"/>
          <w:docPartUnique/>
        </w:docPartObj>
      </w:sdtPr>
      <w:sdtEndPr>
        <w:rPr>
          <w:rFonts w:ascii="Times New Roman" w:hAnsi="Times New Roman" w:cs="Times New Roman"/>
          <w:b/>
          <w:bCs/>
          <w:sz w:val="18"/>
          <w:szCs w:val="18"/>
        </w:rPr>
      </w:sdtEndPr>
      <w:sdtContent>
        <w:sdt>
          <w:sdtPr>
            <w:id w:val="-331524932"/>
            <w:docPartObj>
              <w:docPartGallery w:val="Cover Pages"/>
              <w:docPartUnique/>
            </w:docPartObj>
          </w:sdtPr>
          <w:sdtEndPr>
            <w:rPr>
              <w:rFonts w:ascii="Times New Roman" w:hAnsi="Times New Roman" w:cs="Times New Roman"/>
              <w:b/>
              <w:sz w:val="18"/>
              <w:szCs w:val="18"/>
            </w:rPr>
          </w:sdtEndPr>
          <w:sdtContent>
            <w:sdt>
              <w:sdtPr>
                <w:id w:val="1501465289"/>
                <w:docPartObj>
                  <w:docPartGallery w:val="Cover Pages"/>
                  <w:docPartUnique/>
                </w:docPartObj>
              </w:sdtPr>
              <w:sdtEndPr>
                <w:rPr>
                  <w:rFonts w:ascii="Times New Roman" w:hAnsi="Times New Roman" w:cs="Times New Roman"/>
                  <w:b/>
                  <w:sz w:val="28"/>
                  <w:szCs w:val="28"/>
                </w:rPr>
              </w:sdtEndPr>
              <w:sdtContent>
                <w:bookmarkStart w:id="0" w:name="_Hlk189293520" w:displacedByCustomXml="next"/>
                <w:sdt>
                  <w:sdtPr>
                    <w:id w:val="1468630026"/>
                    <w:docPartObj>
                      <w:docPartGallery w:val="Cover Pages"/>
                      <w:docPartUnique/>
                    </w:docPartObj>
                  </w:sdtPr>
                  <w:sdtEndPr>
                    <w:rPr>
                      <w:rFonts w:ascii="Times New Roman" w:hAnsi="Times New Roman" w:cs="Times New Roman"/>
                      <w:b/>
                      <w:bCs/>
                      <w:sz w:val="18"/>
                      <w:szCs w:val="18"/>
                      <w:lang w:val="es-419"/>
                    </w:rPr>
                  </w:sdtEndPr>
                  <w:sdtContent>
                    <w:p w14:paraId="057AC7D8" w14:textId="77777777" w:rsidR="00C7306D" w:rsidRDefault="00C7306D" w:rsidP="00C7306D">
                      <w:r>
                        <w:rPr>
                          <w:noProof/>
                        </w:rPr>
                        <w:drawing>
                          <wp:anchor distT="0" distB="0" distL="114300" distR="114300" simplePos="0" relativeHeight="251661824" behindDoc="1" locked="0" layoutInCell="1" allowOverlap="1" wp14:anchorId="3803B357" wp14:editId="6FAA4155">
                            <wp:simplePos x="0" y="0"/>
                            <wp:positionH relativeFrom="margin">
                              <wp:posOffset>-1186180</wp:posOffset>
                            </wp:positionH>
                            <wp:positionV relativeFrom="paragraph">
                              <wp:posOffset>-1044575</wp:posOffset>
                            </wp:positionV>
                            <wp:extent cx="8104033" cy="11451265"/>
                            <wp:effectExtent l="0" t="0" r="0" b="0"/>
                            <wp:wrapNone/>
                            <wp:docPr id="2547150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4033" cy="114512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XSpec="center" w:tblpY="5416"/>
                        <w:tblW w:w="5000" w:type="pct"/>
                        <w:tblCellMar>
                          <w:left w:w="0" w:type="dxa"/>
                          <w:right w:w="0" w:type="dxa"/>
                        </w:tblCellMar>
                        <w:tblLook w:val="01E0" w:firstRow="1" w:lastRow="1" w:firstColumn="1" w:lastColumn="1" w:noHBand="0" w:noVBand="0"/>
                      </w:tblPr>
                      <w:tblGrid>
                        <w:gridCol w:w="9026"/>
                      </w:tblGrid>
                      <w:tr w:rsidR="00C7306D" w:rsidRPr="00394DE6" w14:paraId="6455DACD" w14:textId="77777777" w:rsidTr="00AA3889">
                        <w:trPr>
                          <w:trHeight w:val="845"/>
                        </w:trPr>
                        <w:tc>
                          <w:tcPr>
                            <w:tcW w:w="5000" w:type="pct"/>
                          </w:tcPr>
                          <w:p w14:paraId="5251500E" w14:textId="001174ED" w:rsidR="00C7306D" w:rsidRPr="001464BA" w:rsidRDefault="00C7306D" w:rsidP="00AA3889">
                            <w:pPr>
                              <w:pStyle w:val="TableParagraph"/>
                              <w:spacing w:line="240" w:lineRule="auto"/>
                              <w:ind w:right="-8" w:firstLine="1"/>
                              <w:rPr>
                                <w:rFonts w:ascii="Times New Roman" w:hAnsi="Times New Roman" w:cs="Times New Roman"/>
                                <w:b/>
                                <w:bCs/>
                                <w:color w:val="FFFFFF" w:themeColor="background1"/>
                                <w:sz w:val="40"/>
                                <w:szCs w:val="38"/>
                                <w:lang w:val="es-PY"/>
                              </w:rPr>
                            </w:pPr>
                            <w:bookmarkStart w:id="1" w:name="_Hlk173261186"/>
                            <w:bookmarkStart w:id="2" w:name="_Hlk178407216"/>
                            <w:r w:rsidRPr="00C7306D">
                              <w:rPr>
                                <w:rFonts w:ascii="Times New Roman" w:hAnsi="Times New Roman" w:cs="Times New Roman"/>
                                <w:b/>
                                <w:bCs/>
                                <w:color w:val="FFFFFF" w:themeColor="background1"/>
                                <w:sz w:val="40"/>
                                <w:szCs w:val="38"/>
                                <w:lang w:val="es-PY"/>
                              </w:rPr>
                              <w:t xml:space="preserve">INCIDENCIA DE PERITONITIS ASOCIADA A DIALISIS PERITONEAL A 6 MESES DE POSTOPERATORIO DE COLOCACION DE CATETER DE TENCHKOFF EN EL HOSPITAL GENERAL DE ZONA </w:t>
                            </w:r>
                            <w:proofErr w:type="spellStart"/>
                            <w:r w:rsidRPr="00C7306D">
                              <w:rPr>
                                <w:rFonts w:ascii="Times New Roman" w:hAnsi="Times New Roman" w:cs="Times New Roman"/>
                                <w:b/>
                                <w:bCs/>
                                <w:color w:val="FFFFFF" w:themeColor="background1"/>
                                <w:sz w:val="40"/>
                                <w:szCs w:val="38"/>
                                <w:lang w:val="es-PY"/>
                              </w:rPr>
                              <w:t>Nº</w:t>
                            </w:r>
                            <w:proofErr w:type="spellEnd"/>
                            <w:r w:rsidRPr="00C7306D">
                              <w:rPr>
                                <w:rFonts w:ascii="Times New Roman" w:hAnsi="Times New Roman" w:cs="Times New Roman"/>
                                <w:b/>
                                <w:bCs/>
                                <w:color w:val="FFFFFF" w:themeColor="background1"/>
                                <w:sz w:val="40"/>
                                <w:szCs w:val="38"/>
                                <w:lang w:val="es-PY"/>
                              </w:rPr>
                              <w:t xml:space="preserve"> 23</w:t>
                            </w:r>
                          </w:p>
                          <w:p w14:paraId="147917D5" w14:textId="77777777" w:rsidR="00C7306D" w:rsidRDefault="00C7306D" w:rsidP="00AA3889">
                            <w:pPr>
                              <w:pStyle w:val="TableParagraph"/>
                              <w:spacing w:before="0" w:after="0" w:line="240" w:lineRule="auto"/>
                              <w:ind w:right="-8"/>
                              <w:jc w:val="left"/>
                              <w:rPr>
                                <w:rFonts w:ascii="Times New Roman" w:hAnsi="Times New Roman" w:cs="Times New Roman"/>
                                <w:b/>
                                <w:sz w:val="16"/>
                                <w:szCs w:val="16"/>
                              </w:rPr>
                            </w:pPr>
                          </w:p>
                          <w:p w14:paraId="04940BB1" w14:textId="77777777" w:rsidR="00C7306D" w:rsidRDefault="00C7306D" w:rsidP="00AA3889">
                            <w:pPr>
                              <w:pStyle w:val="TableParagraph"/>
                              <w:spacing w:before="0" w:after="0" w:line="240" w:lineRule="auto"/>
                              <w:ind w:right="-8" w:firstLine="1"/>
                              <w:rPr>
                                <w:rFonts w:ascii="Times New Roman" w:hAnsi="Times New Roman" w:cs="Times New Roman"/>
                                <w:b/>
                                <w:sz w:val="16"/>
                                <w:szCs w:val="16"/>
                              </w:rPr>
                            </w:pPr>
                          </w:p>
                          <w:p w14:paraId="3E913974" w14:textId="77777777" w:rsidR="00C7306D" w:rsidRPr="00394DE6" w:rsidRDefault="00C7306D" w:rsidP="00AA3889">
                            <w:pPr>
                              <w:pStyle w:val="TableParagraph"/>
                              <w:spacing w:before="0" w:after="0" w:line="240" w:lineRule="auto"/>
                              <w:ind w:right="-8" w:firstLine="1"/>
                              <w:rPr>
                                <w:rFonts w:ascii="Times New Roman" w:hAnsi="Times New Roman" w:cs="Times New Roman"/>
                                <w:b/>
                                <w:sz w:val="16"/>
                                <w:szCs w:val="16"/>
                              </w:rPr>
                            </w:pPr>
                          </w:p>
                        </w:tc>
                      </w:tr>
                      <w:tr w:rsidR="00C7306D" w:rsidRPr="000924AE" w14:paraId="195A0365" w14:textId="77777777" w:rsidTr="00AA3889">
                        <w:trPr>
                          <w:trHeight w:val="1115"/>
                        </w:trPr>
                        <w:tc>
                          <w:tcPr>
                            <w:tcW w:w="5000" w:type="pct"/>
                            <w:hideMark/>
                          </w:tcPr>
                          <w:p w14:paraId="4CB7C523" w14:textId="25FE4615" w:rsidR="00C7306D" w:rsidRPr="00F527FC" w:rsidRDefault="002E1D96" w:rsidP="00AA3889">
                            <w:pPr>
                              <w:pStyle w:val="TableParagraph"/>
                              <w:spacing w:line="240" w:lineRule="auto"/>
                              <w:ind w:left="142" w:right="293" w:firstLine="1"/>
                              <w:rPr>
                                <w:rFonts w:ascii="Times New Roman" w:hAnsi="Times New Roman" w:cs="Times New Roman"/>
                                <w:color w:val="FFFFFF" w:themeColor="background1"/>
                                <w:sz w:val="32"/>
                                <w:szCs w:val="38"/>
                                <w:lang w:val="en-US"/>
                              </w:rPr>
                            </w:pPr>
                            <w:r w:rsidRPr="002E1D96">
                              <w:rPr>
                                <w:rFonts w:ascii="Times New Roman" w:hAnsi="Times New Roman" w:cs="Times New Roman"/>
                                <w:color w:val="FFFFFF" w:themeColor="background1"/>
                                <w:sz w:val="32"/>
                                <w:szCs w:val="38"/>
                                <w:lang w:val="en-US"/>
                              </w:rPr>
                              <w:t>INCIDENCE OF PERITONITIS ASSOCIATED WITH PERITONEAL DIALYSIS 6 MONTHS AFTER TENCHKOFF CATHETER PLACEMENT IN THE GENERAL HOSPITAL OF ZONE Nº 23</w:t>
                            </w:r>
                          </w:p>
                          <w:p w14:paraId="4112A150" w14:textId="77777777" w:rsidR="00C7306D" w:rsidRPr="005A147D" w:rsidRDefault="00C7306D" w:rsidP="00AA3889">
                            <w:pPr>
                              <w:pStyle w:val="TableParagraph"/>
                              <w:spacing w:before="0" w:after="0" w:line="240" w:lineRule="auto"/>
                              <w:ind w:left="142" w:right="293" w:firstLine="1"/>
                              <w:rPr>
                                <w:rFonts w:ascii="Times New Roman" w:hAnsi="Times New Roman" w:cs="Times New Roman"/>
                                <w:sz w:val="32"/>
                                <w:lang w:val="en-US"/>
                              </w:rPr>
                            </w:pPr>
                          </w:p>
                          <w:p w14:paraId="02C34C7D" w14:textId="77777777" w:rsidR="00C7306D" w:rsidRPr="005A147D" w:rsidRDefault="00C7306D" w:rsidP="00AA3889">
                            <w:pPr>
                              <w:pStyle w:val="TableParagraph"/>
                              <w:spacing w:before="0" w:after="0" w:line="240" w:lineRule="auto"/>
                              <w:ind w:left="142" w:right="293" w:firstLine="1"/>
                              <w:rPr>
                                <w:rFonts w:ascii="Times New Roman" w:hAnsi="Times New Roman" w:cs="Times New Roman"/>
                                <w:sz w:val="28"/>
                                <w:lang w:val="en-US"/>
                              </w:rPr>
                            </w:pPr>
                          </w:p>
                        </w:tc>
                      </w:tr>
                      <w:tr w:rsidR="00C7306D" w:rsidRPr="00394DE6" w14:paraId="5C599BB9" w14:textId="77777777" w:rsidTr="00AA3889">
                        <w:trPr>
                          <w:trHeight w:val="1268"/>
                        </w:trPr>
                        <w:tc>
                          <w:tcPr>
                            <w:tcW w:w="5000" w:type="pct"/>
                          </w:tcPr>
                          <w:p w14:paraId="2D410513" w14:textId="0E3DC93A" w:rsidR="00C7306D" w:rsidRPr="00F527FC" w:rsidRDefault="00AC3430" w:rsidP="00AA3889">
                            <w:pPr>
                              <w:pStyle w:val="TableParagraph"/>
                              <w:spacing w:before="0" w:after="0" w:line="240" w:lineRule="auto"/>
                              <w:ind w:right="133"/>
                              <w:rPr>
                                <w:rFonts w:ascii="Times New Roman" w:hAnsi="Times New Roman" w:cs="Times New Roman"/>
                                <w:b/>
                                <w:color w:val="FFFFFF"/>
                                <w:sz w:val="28"/>
                                <w:lang w:val="es-ES_tradnl"/>
                              </w:rPr>
                            </w:pPr>
                            <w:proofErr w:type="spellStart"/>
                            <w:r w:rsidRPr="00AC3430">
                              <w:rPr>
                                <w:rFonts w:ascii="Times New Roman" w:hAnsi="Times New Roman" w:cs="Times New Roman"/>
                                <w:b/>
                                <w:color w:val="FFFFFF"/>
                                <w:sz w:val="28"/>
                                <w:lang w:val="es-ES_tradnl"/>
                              </w:rPr>
                              <w:t>Josè</w:t>
                            </w:r>
                            <w:proofErr w:type="spellEnd"/>
                            <w:r w:rsidRPr="00AC3430">
                              <w:rPr>
                                <w:rFonts w:ascii="Times New Roman" w:hAnsi="Times New Roman" w:cs="Times New Roman"/>
                                <w:b/>
                                <w:color w:val="FFFFFF"/>
                                <w:sz w:val="28"/>
                                <w:lang w:val="es-ES_tradnl"/>
                              </w:rPr>
                              <w:t xml:space="preserve"> Daniel Dzul </w:t>
                            </w:r>
                            <w:proofErr w:type="spellStart"/>
                            <w:r w:rsidRPr="00AC3430">
                              <w:rPr>
                                <w:rFonts w:ascii="Times New Roman" w:hAnsi="Times New Roman" w:cs="Times New Roman"/>
                                <w:b/>
                                <w:color w:val="FFFFFF"/>
                                <w:sz w:val="28"/>
                                <w:lang w:val="es-ES_tradnl"/>
                              </w:rPr>
                              <w:t>Suàrez</w:t>
                            </w:r>
                            <w:proofErr w:type="spellEnd"/>
                          </w:p>
                          <w:p w14:paraId="326C6A0B" w14:textId="77777777" w:rsidR="00C7306D" w:rsidRPr="00F527FC" w:rsidRDefault="00C7306D" w:rsidP="00AA3889">
                            <w:pPr>
                              <w:pStyle w:val="TableParagraph"/>
                              <w:spacing w:before="0" w:after="0" w:line="240" w:lineRule="auto"/>
                              <w:ind w:right="133"/>
                              <w:rPr>
                                <w:rFonts w:ascii="Times New Roman" w:hAnsi="Times New Roman" w:cs="Times New Roman"/>
                                <w:bCs/>
                                <w:color w:val="FFFFFF"/>
                                <w:sz w:val="24"/>
                                <w:szCs w:val="20"/>
                                <w:lang w:val="es-MX"/>
                              </w:rPr>
                            </w:pPr>
                            <w:r w:rsidRPr="005D63B1">
                              <w:rPr>
                                <w:rFonts w:ascii="Times New Roman" w:hAnsi="Times New Roman" w:cs="Times New Roman"/>
                                <w:bCs/>
                                <w:color w:val="FFFFFF"/>
                                <w:sz w:val="24"/>
                                <w:szCs w:val="20"/>
                                <w:lang w:val="es-MX"/>
                              </w:rPr>
                              <w:t>Instituto Mexicano del Seguro Social</w:t>
                            </w:r>
                            <w:r>
                              <w:rPr>
                                <w:rFonts w:ascii="Times New Roman" w:hAnsi="Times New Roman" w:cs="Times New Roman"/>
                                <w:bCs/>
                                <w:color w:val="FFFFFF"/>
                                <w:sz w:val="24"/>
                                <w:szCs w:val="20"/>
                                <w:lang w:val="es-MX"/>
                              </w:rPr>
                              <w:t xml:space="preserve"> </w:t>
                            </w:r>
                            <w:r w:rsidRPr="00F527FC">
                              <w:rPr>
                                <w:rFonts w:ascii="Times New Roman" w:hAnsi="Times New Roman" w:cs="Times New Roman"/>
                                <w:bCs/>
                                <w:color w:val="FFFFFF"/>
                                <w:sz w:val="24"/>
                                <w:szCs w:val="20"/>
                                <w:lang w:val="es-MX"/>
                              </w:rPr>
                              <w:t xml:space="preserve">- </w:t>
                            </w:r>
                            <w:r>
                              <w:rPr>
                                <w:rFonts w:ascii="Times New Roman" w:hAnsi="Times New Roman" w:cs="Times New Roman"/>
                                <w:bCs/>
                                <w:color w:val="FFFFFF"/>
                                <w:sz w:val="24"/>
                                <w:szCs w:val="20"/>
                                <w:lang w:val="es-MX"/>
                              </w:rPr>
                              <w:t>México</w:t>
                            </w:r>
                          </w:p>
                          <w:p w14:paraId="042CEE0F" w14:textId="77777777" w:rsidR="00C7306D" w:rsidRDefault="00C7306D" w:rsidP="00AA3889">
                            <w:pPr>
                              <w:pStyle w:val="TableParagraph"/>
                              <w:spacing w:before="0" w:after="0" w:line="240" w:lineRule="auto"/>
                              <w:ind w:right="133"/>
                              <w:rPr>
                                <w:rFonts w:ascii="Times New Roman" w:hAnsi="Times New Roman" w:cs="Times New Roman"/>
                                <w:b/>
                                <w:bCs/>
                                <w:color w:val="FFFFFF"/>
                                <w:sz w:val="28"/>
                                <w:lang w:val="es-MX"/>
                              </w:rPr>
                            </w:pPr>
                          </w:p>
                          <w:p w14:paraId="4AB5628E" w14:textId="4B1008BB" w:rsidR="00C7306D" w:rsidRPr="00F527FC" w:rsidRDefault="00E125CF" w:rsidP="00AA3889">
                            <w:pPr>
                              <w:pStyle w:val="TableParagraph"/>
                              <w:spacing w:before="0" w:after="0" w:line="240" w:lineRule="auto"/>
                              <w:ind w:right="133"/>
                              <w:rPr>
                                <w:rFonts w:ascii="Times New Roman" w:hAnsi="Times New Roman" w:cs="Times New Roman"/>
                                <w:b/>
                                <w:bCs/>
                                <w:color w:val="FFFFFF"/>
                                <w:sz w:val="28"/>
                                <w:lang w:val="es-MX"/>
                              </w:rPr>
                            </w:pPr>
                            <w:r w:rsidRPr="00E125CF">
                              <w:rPr>
                                <w:rFonts w:ascii="Times New Roman" w:hAnsi="Times New Roman" w:cs="Times New Roman"/>
                                <w:b/>
                                <w:bCs/>
                                <w:color w:val="FFFFFF"/>
                                <w:sz w:val="28"/>
                                <w:lang w:val="es-MX"/>
                              </w:rPr>
                              <w:t>Carlos Augusto Hernández Martínez</w:t>
                            </w:r>
                          </w:p>
                          <w:p w14:paraId="2B92C8C4" w14:textId="77777777" w:rsidR="00C7306D" w:rsidRPr="00992831" w:rsidRDefault="00C7306D" w:rsidP="00AA3889">
                            <w:pPr>
                              <w:pStyle w:val="TableParagraph"/>
                              <w:spacing w:before="0" w:after="0" w:line="240" w:lineRule="auto"/>
                              <w:ind w:right="133"/>
                              <w:rPr>
                                <w:rFonts w:ascii="Times New Roman" w:hAnsi="Times New Roman" w:cs="Times New Roman"/>
                                <w:bCs/>
                                <w:color w:val="FFFFFF"/>
                                <w:sz w:val="24"/>
                                <w:szCs w:val="20"/>
                                <w:lang w:val="es-ES_tradnl"/>
                              </w:rPr>
                            </w:pPr>
                            <w:r w:rsidRPr="005D63B1">
                              <w:rPr>
                                <w:rFonts w:ascii="Times New Roman" w:hAnsi="Times New Roman" w:cs="Times New Roman"/>
                                <w:bCs/>
                                <w:color w:val="FFFFFF"/>
                                <w:sz w:val="24"/>
                                <w:szCs w:val="20"/>
                                <w:lang w:val="es-MX"/>
                              </w:rPr>
                              <w:t>Instituto Mexicano del Seguro Social - México</w:t>
                            </w:r>
                          </w:p>
                          <w:p w14:paraId="392CBF40" w14:textId="77777777" w:rsidR="00C7306D" w:rsidRDefault="00C7306D" w:rsidP="00AA3889">
                            <w:pPr>
                              <w:pStyle w:val="TableParagraph"/>
                              <w:spacing w:before="0" w:after="0" w:line="240" w:lineRule="auto"/>
                              <w:ind w:right="133"/>
                              <w:rPr>
                                <w:rFonts w:ascii="Times New Roman" w:hAnsi="Times New Roman" w:cs="Times New Roman"/>
                                <w:b/>
                                <w:color w:val="FFFFFF"/>
                                <w:sz w:val="28"/>
                                <w:lang w:val="es-ES_tradnl"/>
                              </w:rPr>
                            </w:pPr>
                          </w:p>
                          <w:p w14:paraId="04B1CEFF" w14:textId="280CDB18" w:rsidR="00C7306D" w:rsidRPr="00F527FC" w:rsidRDefault="00E125CF" w:rsidP="00AA3889">
                            <w:pPr>
                              <w:pStyle w:val="TableParagraph"/>
                              <w:spacing w:before="0" w:after="0" w:line="240" w:lineRule="auto"/>
                              <w:ind w:right="133"/>
                              <w:rPr>
                                <w:rFonts w:ascii="Times New Roman" w:hAnsi="Times New Roman" w:cs="Times New Roman"/>
                                <w:b/>
                                <w:color w:val="FFFFFF"/>
                                <w:sz w:val="28"/>
                                <w:lang w:val="es-ES_tradnl"/>
                              </w:rPr>
                            </w:pPr>
                            <w:r w:rsidRPr="00E125CF">
                              <w:rPr>
                                <w:rFonts w:ascii="Times New Roman" w:hAnsi="Times New Roman" w:cs="Times New Roman"/>
                                <w:b/>
                                <w:color w:val="FFFFFF"/>
                                <w:sz w:val="28"/>
                                <w:lang w:val="es-ES_tradnl"/>
                              </w:rPr>
                              <w:t>Laura Serrano Vértiz</w:t>
                            </w:r>
                          </w:p>
                          <w:p w14:paraId="4842010F" w14:textId="77777777" w:rsidR="00E91663" w:rsidRPr="00992831" w:rsidRDefault="00E91663" w:rsidP="00E91663">
                            <w:pPr>
                              <w:pStyle w:val="TableParagraph"/>
                              <w:spacing w:before="0" w:after="0" w:line="240" w:lineRule="auto"/>
                              <w:ind w:right="133"/>
                              <w:rPr>
                                <w:rFonts w:ascii="Times New Roman" w:hAnsi="Times New Roman" w:cs="Times New Roman"/>
                                <w:bCs/>
                                <w:color w:val="FFFFFF"/>
                                <w:sz w:val="24"/>
                                <w:szCs w:val="20"/>
                                <w:lang w:val="es-ES_tradnl"/>
                              </w:rPr>
                            </w:pPr>
                            <w:r w:rsidRPr="005D63B1">
                              <w:rPr>
                                <w:rFonts w:ascii="Times New Roman" w:hAnsi="Times New Roman" w:cs="Times New Roman"/>
                                <w:bCs/>
                                <w:color w:val="FFFFFF"/>
                                <w:sz w:val="24"/>
                                <w:szCs w:val="20"/>
                                <w:lang w:val="es-MX"/>
                              </w:rPr>
                              <w:t>Instituto Mexicano del Seguro Social - México</w:t>
                            </w:r>
                          </w:p>
                          <w:p w14:paraId="55B35891" w14:textId="77777777" w:rsidR="00C7306D" w:rsidRPr="008373C6" w:rsidRDefault="00C7306D" w:rsidP="00E125CF">
                            <w:pPr>
                              <w:pStyle w:val="TableParagraph"/>
                              <w:spacing w:before="0" w:after="0" w:line="240" w:lineRule="auto"/>
                              <w:ind w:right="133"/>
                              <w:jc w:val="left"/>
                              <w:rPr>
                                <w:rFonts w:ascii="Times New Roman" w:hAnsi="Times New Roman" w:cs="Times New Roman"/>
                                <w:color w:val="FFFFFF"/>
                                <w:sz w:val="28"/>
                                <w:lang w:val="es-ES_tradnl"/>
                              </w:rPr>
                            </w:pPr>
                          </w:p>
                        </w:tc>
                        <w:bookmarkEnd w:id="1"/>
                      </w:tr>
                      <w:bookmarkEnd w:id="2"/>
                    </w:tbl>
                    <w:p w14:paraId="3FCE1453" w14:textId="18761487" w:rsidR="00C7306D" w:rsidRPr="00C7306D" w:rsidRDefault="00C7306D">
                      <w:pPr>
                        <w:rPr>
                          <w:rFonts w:ascii="Times New Roman" w:hAnsi="Times New Roman" w:cs="Times New Roman"/>
                          <w:b/>
                          <w:bCs/>
                          <w:sz w:val="18"/>
                          <w:szCs w:val="18"/>
                          <w:lang w:val="es-419"/>
                        </w:rPr>
                      </w:pPr>
                      <w:r>
                        <w:rPr>
                          <w:rFonts w:ascii="Times New Roman" w:hAnsi="Times New Roman" w:cs="Times New Roman"/>
                          <w:b/>
                          <w:bCs/>
                          <w:sz w:val="18"/>
                          <w:szCs w:val="18"/>
                          <w:lang w:val="es-419"/>
                        </w:rPr>
                        <w:br w:type="page"/>
                      </w:r>
                    </w:p>
                  </w:sdtContent>
                </w:sdt>
                <w:bookmarkEnd w:id="0" w:displacedByCustomXml="next"/>
              </w:sdtContent>
            </w:sdt>
          </w:sdtContent>
        </w:sdt>
      </w:sdtContent>
    </w:sdt>
    <w:p w14:paraId="35AAD81B" w14:textId="1C1F82B0" w:rsidR="00ED72E1" w:rsidRPr="007F371C" w:rsidRDefault="000A47B0" w:rsidP="00425E56">
      <w:pPr>
        <w:spacing w:after="0" w:line="240" w:lineRule="auto"/>
        <w:jc w:val="right"/>
        <w:rPr>
          <w:rFonts w:ascii="Times New Roman" w:hAnsi="Times New Roman" w:cs="Times New Roman"/>
          <w:b/>
          <w:bCs/>
          <w:sz w:val="18"/>
          <w:szCs w:val="18"/>
          <w:lang w:val="pt-PT"/>
        </w:rPr>
      </w:pPr>
      <w:r>
        <w:rPr>
          <w:noProof/>
        </w:rPr>
        <w:lastRenderedPageBreak/>
        <w:drawing>
          <wp:anchor distT="0" distB="0" distL="114300" distR="114300" simplePos="0" relativeHeight="251661312" behindDoc="0" locked="0" layoutInCell="1" allowOverlap="1" wp14:anchorId="1806EFD6" wp14:editId="50249584">
            <wp:simplePos x="0" y="0"/>
            <wp:positionH relativeFrom="page">
              <wp:posOffset>0</wp:posOffset>
            </wp:positionH>
            <wp:positionV relativeFrom="paragraph">
              <wp:posOffset>-914400</wp:posOffset>
            </wp:positionV>
            <wp:extent cx="7560945" cy="771508"/>
            <wp:effectExtent l="0" t="0" r="1905" b="0"/>
            <wp:wrapNone/>
            <wp:docPr id="37208275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82754"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60945" cy="771508"/>
                    </a:xfrm>
                    <a:prstGeom prst="rect">
                      <a:avLst/>
                    </a:prstGeom>
                  </pic:spPr>
                </pic:pic>
              </a:graphicData>
            </a:graphic>
            <wp14:sizeRelH relativeFrom="margin">
              <wp14:pctWidth>0</wp14:pctWidth>
            </wp14:sizeRelH>
            <wp14:sizeRelV relativeFrom="margin">
              <wp14:pctHeight>0</wp14:pctHeight>
            </wp14:sizeRelV>
          </wp:anchor>
        </w:drawing>
      </w:r>
      <w:r w:rsidR="00ED72E1" w:rsidRPr="007F371C">
        <w:rPr>
          <w:rFonts w:ascii="Times New Roman" w:hAnsi="Times New Roman" w:cs="Times New Roman"/>
          <w:b/>
          <w:bCs/>
          <w:sz w:val="18"/>
          <w:szCs w:val="18"/>
          <w:lang w:val="pt-PT"/>
        </w:rPr>
        <w:t>DOI:</w:t>
      </w:r>
      <w:r w:rsidR="007F371C" w:rsidRPr="007F371C">
        <w:rPr>
          <w:lang w:val="pt-PT"/>
        </w:rPr>
        <w:t xml:space="preserve"> </w:t>
      </w:r>
      <w:hyperlink r:id="rId10" w:history="1">
        <w:r w:rsidR="007F371C" w:rsidRPr="007F371C">
          <w:rPr>
            <w:rStyle w:val="Hipervnculo"/>
            <w:rFonts w:ascii="Times New Roman" w:hAnsi="Times New Roman" w:cs="Times New Roman"/>
            <w:sz w:val="18"/>
            <w:szCs w:val="18"/>
            <w:lang w:val="pt-PT"/>
          </w:rPr>
          <w:t>https://doi.org/10.37811/cl_rcm.v9i1.16377</w:t>
        </w:r>
      </w:hyperlink>
      <w:r w:rsidR="007F371C">
        <w:rPr>
          <w:rFonts w:ascii="Times New Roman" w:hAnsi="Times New Roman" w:cs="Times New Roman"/>
          <w:b/>
          <w:bCs/>
          <w:sz w:val="18"/>
          <w:szCs w:val="18"/>
          <w:lang w:val="pt-PT"/>
        </w:rPr>
        <w:t xml:space="preserve"> </w:t>
      </w:r>
    </w:p>
    <w:p w14:paraId="6B80CC24" w14:textId="72D6CE07" w:rsidR="00F6543D" w:rsidRPr="00425E56" w:rsidRDefault="00746A38" w:rsidP="00425E56">
      <w:pPr>
        <w:pStyle w:val="TDC1"/>
      </w:pPr>
      <w:r w:rsidRPr="00425E56">
        <w:t>Incidencia de peritonitis asociada a dialisis peritoneal a 6 meses de postoperatorio de colocacion de cateter de Tenchkoff en el hospital general de zona N</w:t>
      </w:r>
      <w:r w:rsidR="00C6621A" w:rsidRPr="00425E56">
        <w:t>º</w:t>
      </w:r>
      <w:r w:rsidRPr="00425E56">
        <w:t xml:space="preserve"> 23</w:t>
      </w:r>
    </w:p>
    <w:p w14:paraId="32D7F4DA" w14:textId="77777777" w:rsidR="00ED72E1" w:rsidRPr="00ED72E1" w:rsidRDefault="00ED72E1" w:rsidP="007032F2">
      <w:pPr>
        <w:spacing w:after="0" w:line="240" w:lineRule="auto"/>
        <w:rPr>
          <w:lang w:val="es-PY" w:eastAsia="es-PY"/>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6543D" w:rsidRPr="00F050E0" w14:paraId="446C9318" w14:textId="77777777" w:rsidTr="009439B1">
        <w:trPr>
          <w:trHeight w:val="948"/>
        </w:trPr>
        <w:tc>
          <w:tcPr>
            <w:tcW w:w="2500" w:type="pct"/>
          </w:tcPr>
          <w:p w14:paraId="47247DAF" w14:textId="5DE6B034" w:rsidR="00F6543D" w:rsidRPr="00F050E0" w:rsidRDefault="00746A38" w:rsidP="00F050E0">
            <w:pPr>
              <w:widowControl w:val="0"/>
              <w:autoSpaceDE w:val="0"/>
              <w:autoSpaceDN w:val="0"/>
              <w:spacing w:line="276" w:lineRule="auto"/>
              <w:rPr>
                <w:rFonts w:ascii="Times New Roman" w:eastAsia="Arial MT" w:hAnsi="Times New Roman"/>
                <w:b/>
                <w:noProof/>
                <w:sz w:val="22"/>
                <w:szCs w:val="22"/>
                <w:lang w:val="it-IT"/>
              </w:rPr>
            </w:pPr>
            <w:r w:rsidRPr="00F050E0">
              <w:rPr>
                <w:rFonts w:ascii="Times New Roman" w:eastAsia="Arial MT" w:hAnsi="Times New Roman"/>
                <w:b/>
                <w:noProof/>
                <w:sz w:val="22"/>
                <w:szCs w:val="22"/>
                <w:lang w:val="it-IT"/>
              </w:rPr>
              <w:t>Josè Daniel Dzul Suàrez</w:t>
            </w:r>
            <w:r w:rsidR="00F6543D" w:rsidRPr="00F050E0">
              <w:rPr>
                <w:rFonts w:ascii="Times New Roman" w:eastAsia="Arial MT" w:hAnsi="Times New Roman"/>
                <w:b/>
                <w:noProof/>
                <w:sz w:val="22"/>
                <w:szCs w:val="22"/>
                <w:vertAlign w:val="superscript"/>
                <w:lang w:val="es-PY"/>
              </w:rPr>
              <w:footnoteReference w:id="1"/>
            </w:r>
          </w:p>
          <w:p w14:paraId="5DF67F1C" w14:textId="26CA289F" w:rsidR="00F6543D" w:rsidRPr="00F050E0" w:rsidRDefault="00000000" w:rsidP="00F050E0">
            <w:pPr>
              <w:widowControl w:val="0"/>
              <w:autoSpaceDE w:val="0"/>
              <w:autoSpaceDN w:val="0"/>
              <w:spacing w:line="276" w:lineRule="auto"/>
              <w:rPr>
                <w:rFonts w:ascii="Times New Roman" w:eastAsia="Arial MT" w:hAnsi="Times New Roman"/>
                <w:noProof/>
                <w:color w:val="000000"/>
                <w:sz w:val="22"/>
                <w:szCs w:val="22"/>
                <w:lang w:val="it-IT"/>
              </w:rPr>
            </w:pPr>
            <w:hyperlink r:id="rId11" w:history="1">
              <w:r w:rsidR="007B4C00" w:rsidRPr="00F050E0">
                <w:rPr>
                  <w:rStyle w:val="Hipervnculo"/>
                  <w:rFonts w:ascii="Times New Roman" w:eastAsia="Arial MT" w:hAnsi="Times New Roman"/>
                  <w:noProof/>
                  <w:sz w:val="22"/>
                  <w:szCs w:val="22"/>
                  <w:lang w:val="it-IT"/>
                </w:rPr>
                <w:t>jdzulsuarez@gmail.com</w:t>
              </w:r>
            </w:hyperlink>
          </w:p>
          <w:p w14:paraId="43CAB94E" w14:textId="26D8FC2C" w:rsidR="00746A38" w:rsidRPr="00F050E0" w:rsidRDefault="00000000" w:rsidP="00F050E0">
            <w:pPr>
              <w:widowControl w:val="0"/>
              <w:autoSpaceDE w:val="0"/>
              <w:autoSpaceDN w:val="0"/>
              <w:spacing w:line="276" w:lineRule="auto"/>
              <w:rPr>
                <w:rFonts w:ascii="Times New Roman" w:hAnsi="Times New Roman"/>
                <w:sz w:val="22"/>
                <w:szCs w:val="22"/>
              </w:rPr>
            </w:pPr>
            <w:hyperlink r:id="rId12" w:history="1">
              <w:r w:rsidR="007B4C00" w:rsidRPr="00F050E0">
                <w:rPr>
                  <w:rStyle w:val="Hipervnculo"/>
                  <w:rFonts w:ascii="Times New Roman" w:hAnsi="Times New Roman"/>
                  <w:sz w:val="22"/>
                  <w:szCs w:val="22"/>
                  <w:shd w:val="clear" w:color="auto" w:fill="FFFFFF"/>
                </w:rPr>
                <w:t>https://orcid.org/0009-0006-6240-1864</w:t>
              </w:r>
            </w:hyperlink>
          </w:p>
          <w:p w14:paraId="5BC6184B" w14:textId="5137E877" w:rsidR="00A753A9" w:rsidRPr="00F050E0" w:rsidRDefault="00A753A9" w:rsidP="00F050E0">
            <w:pPr>
              <w:widowControl w:val="0"/>
              <w:autoSpaceDE w:val="0"/>
              <w:autoSpaceDN w:val="0"/>
              <w:spacing w:line="276" w:lineRule="auto"/>
              <w:rPr>
                <w:rFonts w:ascii="Times New Roman" w:eastAsia="Arial MT" w:hAnsi="Times New Roman"/>
                <w:bCs/>
                <w:noProof/>
                <w:sz w:val="22"/>
                <w:szCs w:val="22"/>
                <w:lang w:val="es-PY"/>
              </w:rPr>
            </w:pPr>
            <w:r w:rsidRPr="00F050E0">
              <w:rPr>
                <w:rFonts w:ascii="Times New Roman" w:eastAsia="Arial MT" w:hAnsi="Times New Roman"/>
                <w:bCs/>
                <w:noProof/>
                <w:sz w:val="22"/>
                <w:szCs w:val="22"/>
                <w:lang w:val="es-PY"/>
              </w:rPr>
              <w:t>Instituto Mexicano del Seguro Social</w:t>
            </w:r>
          </w:p>
          <w:p w14:paraId="25947378" w14:textId="77777777" w:rsidR="00F6543D" w:rsidRDefault="00A753A9" w:rsidP="00F050E0">
            <w:pPr>
              <w:widowControl w:val="0"/>
              <w:autoSpaceDE w:val="0"/>
              <w:autoSpaceDN w:val="0"/>
              <w:spacing w:line="276" w:lineRule="auto"/>
              <w:rPr>
                <w:rFonts w:ascii="Times New Roman" w:eastAsia="Arial MT" w:hAnsi="Times New Roman"/>
                <w:bCs/>
                <w:noProof/>
                <w:sz w:val="22"/>
                <w:szCs w:val="22"/>
                <w:lang w:val="es-PY"/>
              </w:rPr>
            </w:pPr>
            <w:r w:rsidRPr="00F050E0">
              <w:rPr>
                <w:rFonts w:ascii="Times New Roman" w:eastAsia="Arial MT" w:hAnsi="Times New Roman"/>
                <w:bCs/>
                <w:noProof/>
                <w:sz w:val="22"/>
                <w:szCs w:val="22"/>
                <w:lang w:val="es-PY"/>
              </w:rPr>
              <w:t>México</w:t>
            </w:r>
          </w:p>
          <w:p w14:paraId="237CD086" w14:textId="57D9950D" w:rsidR="00F050E0" w:rsidRPr="00F050E0" w:rsidRDefault="00F050E0" w:rsidP="00F050E0">
            <w:pPr>
              <w:widowControl w:val="0"/>
              <w:autoSpaceDE w:val="0"/>
              <w:autoSpaceDN w:val="0"/>
              <w:spacing w:line="276" w:lineRule="auto"/>
              <w:rPr>
                <w:rFonts w:ascii="Times New Roman" w:eastAsia="Arial MT" w:hAnsi="Times New Roman"/>
                <w:noProof/>
                <w:sz w:val="22"/>
                <w:szCs w:val="22"/>
                <w:lang w:val="es-PY"/>
              </w:rPr>
            </w:pPr>
          </w:p>
        </w:tc>
        <w:tc>
          <w:tcPr>
            <w:tcW w:w="2500" w:type="pct"/>
          </w:tcPr>
          <w:p w14:paraId="0215FEBC" w14:textId="77777777" w:rsidR="00746A38" w:rsidRPr="00F050E0" w:rsidRDefault="00746A38" w:rsidP="00F050E0">
            <w:pPr>
              <w:widowControl w:val="0"/>
              <w:autoSpaceDE w:val="0"/>
              <w:autoSpaceDN w:val="0"/>
              <w:spacing w:line="276" w:lineRule="auto"/>
              <w:rPr>
                <w:rFonts w:ascii="Times New Roman" w:eastAsia="Arial MT" w:hAnsi="Times New Roman"/>
                <w:b/>
                <w:noProof/>
                <w:sz w:val="22"/>
                <w:szCs w:val="22"/>
                <w:lang w:val="es-PY"/>
              </w:rPr>
            </w:pPr>
            <w:r w:rsidRPr="00F050E0">
              <w:rPr>
                <w:rFonts w:ascii="Times New Roman" w:eastAsia="Arial MT" w:hAnsi="Times New Roman"/>
                <w:b/>
                <w:noProof/>
                <w:sz w:val="22"/>
                <w:szCs w:val="22"/>
                <w:lang w:val="es-PY"/>
              </w:rPr>
              <w:t xml:space="preserve">Carlos Augusto Hernández Martínez </w:t>
            </w:r>
          </w:p>
          <w:p w14:paraId="20DA24D5" w14:textId="59BCAF26" w:rsidR="00746A38" w:rsidRPr="00F050E0" w:rsidRDefault="00000000" w:rsidP="00F050E0">
            <w:pPr>
              <w:widowControl w:val="0"/>
              <w:autoSpaceDE w:val="0"/>
              <w:autoSpaceDN w:val="0"/>
              <w:spacing w:line="276" w:lineRule="auto"/>
              <w:rPr>
                <w:rFonts w:ascii="Times New Roman" w:eastAsia="Arial MT" w:hAnsi="Times New Roman"/>
                <w:noProof/>
                <w:sz w:val="22"/>
                <w:szCs w:val="22"/>
                <w:lang w:val="es-PY"/>
              </w:rPr>
            </w:pPr>
            <w:hyperlink r:id="rId13" w:history="1">
              <w:r w:rsidR="00A753A9" w:rsidRPr="00F050E0">
                <w:rPr>
                  <w:rStyle w:val="Hipervnculo"/>
                  <w:rFonts w:ascii="Times New Roman" w:eastAsia="Arial MT" w:hAnsi="Times New Roman"/>
                  <w:noProof/>
                  <w:sz w:val="22"/>
                  <w:szCs w:val="22"/>
                  <w:lang w:val="es-PY"/>
                </w:rPr>
                <w:t>pvt.hernandez115@gmail.com</w:t>
              </w:r>
            </w:hyperlink>
          </w:p>
          <w:p w14:paraId="6BC3D23A" w14:textId="6F03D189" w:rsidR="00746A38" w:rsidRPr="00F050E0" w:rsidRDefault="00000000" w:rsidP="00F050E0">
            <w:pPr>
              <w:widowControl w:val="0"/>
              <w:autoSpaceDE w:val="0"/>
              <w:autoSpaceDN w:val="0"/>
              <w:spacing w:line="276" w:lineRule="auto"/>
              <w:rPr>
                <w:rFonts w:ascii="Times New Roman" w:eastAsia="Arial MT" w:hAnsi="Times New Roman"/>
                <w:noProof/>
                <w:sz w:val="22"/>
                <w:szCs w:val="22"/>
                <w:lang w:val="es-PY"/>
              </w:rPr>
            </w:pPr>
            <w:hyperlink r:id="rId14" w:history="1">
              <w:r w:rsidR="00A753A9" w:rsidRPr="00F050E0">
                <w:rPr>
                  <w:rStyle w:val="Hipervnculo"/>
                  <w:rFonts w:ascii="Times New Roman" w:eastAsia="Arial MT" w:hAnsi="Times New Roman"/>
                  <w:noProof/>
                  <w:sz w:val="22"/>
                  <w:szCs w:val="22"/>
                  <w:lang w:val="es-PY"/>
                </w:rPr>
                <w:t>https://orcid.org/0000-0002-1574-2512</w:t>
              </w:r>
            </w:hyperlink>
            <w:r w:rsidR="00A753A9" w:rsidRPr="00F050E0">
              <w:rPr>
                <w:rFonts w:ascii="Times New Roman" w:eastAsia="Arial MT" w:hAnsi="Times New Roman"/>
                <w:noProof/>
                <w:sz w:val="22"/>
                <w:szCs w:val="22"/>
                <w:lang w:val="es-PY"/>
              </w:rPr>
              <w:t xml:space="preserve"> </w:t>
            </w:r>
          </w:p>
          <w:p w14:paraId="5264E817" w14:textId="6D4EDDAD" w:rsidR="00746A38" w:rsidRPr="00F050E0" w:rsidRDefault="00746A38" w:rsidP="00F050E0">
            <w:pPr>
              <w:widowControl w:val="0"/>
              <w:autoSpaceDE w:val="0"/>
              <w:autoSpaceDN w:val="0"/>
              <w:spacing w:line="276" w:lineRule="auto"/>
              <w:rPr>
                <w:rFonts w:ascii="Times New Roman" w:eastAsia="Arial MT" w:hAnsi="Times New Roman"/>
                <w:noProof/>
                <w:sz w:val="22"/>
                <w:szCs w:val="22"/>
                <w:lang w:val="es-PY"/>
              </w:rPr>
            </w:pPr>
            <w:r w:rsidRPr="00F050E0">
              <w:rPr>
                <w:rFonts w:ascii="Times New Roman" w:eastAsia="Arial MT" w:hAnsi="Times New Roman"/>
                <w:noProof/>
                <w:sz w:val="22"/>
                <w:szCs w:val="22"/>
                <w:lang w:val="es-PY"/>
              </w:rPr>
              <w:t>Instituto Mexicano del Seguro Social</w:t>
            </w:r>
          </w:p>
          <w:p w14:paraId="06FD748A" w14:textId="059B30CF" w:rsidR="00F6543D" w:rsidRPr="00F050E0" w:rsidRDefault="00746A38" w:rsidP="00F050E0">
            <w:pPr>
              <w:widowControl w:val="0"/>
              <w:autoSpaceDE w:val="0"/>
              <w:autoSpaceDN w:val="0"/>
              <w:spacing w:line="276" w:lineRule="auto"/>
              <w:rPr>
                <w:rFonts w:ascii="Times New Roman" w:eastAsia="Arial MT" w:hAnsi="Times New Roman"/>
                <w:noProof/>
                <w:sz w:val="22"/>
                <w:szCs w:val="22"/>
                <w:lang w:val="es-PY"/>
              </w:rPr>
            </w:pPr>
            <w:r w:rsidRPr="00F050E0">
              <w:rPr>
                <w:rFonts w:ascii="Times New Roman" w:eastAsia="Arial MT" w:hAnsi="Times New Roman"/>
                <w:noProof/>
                <w:sz w:val="22"/>
                <w:szCs w:val="22"/>
                <w:lang w:val="es-PY"/>
              </w:rPr>
              <w:t>México</w:t>
            </w:r>
          </w:p>
        </w:tc>
      </w:tr>
      <w:tr w:rsidR="00F6543D" w:rsidRPr="00F050E0" w14:paraId="5C20D2EC" w14:textId="77777777" w:rsidTr="009439B1">
        <w:trPr>
          <w:trHeight w:val="902"/>
        </w:trPr>
        <w:tc>
          <w:tcPr>
            <w:tcW w:w="2500" w:type="pct"/>
          </w:tcPr>
          <w:p w14:paraId="470FD1A6" w14:textId="77777777" w:rsidR="00A753A9" w:rsidRPr="00F050E0" w:rsidRDefault="00A753A9" w:rsidP="00F050E0">
            <w:pPr>
              <w:widowControl w:val="0"/>
              <w:autoSpaceDE w:val="0"/>
              <w:autoSpaceDN w:val="0"/>
              <w:spacing w:line="276" w:lineRule="auto"/>
              <w:rPr>
                <w:rFonts w:ascii="Times New Roman" w:eastAsia="Arial MT" w:hAnsi="Times New Roman"/>
                <w:b/>
                <w:noProof/>
                <w:sz w:val="22"/>
                <w:szCs w:val="22"/>
                <w:lang w:val="it-IT"/>
              </w:rPr>
            </w:pPr>
            <w:r w:rsidRPr="00F050E0">
              <w:rPr>
                <w:rFonts w:ascii="Times New Roman" w:eastAsia="Arial MT" w:hAnsi="Times New Roman"/>
                <w:b/>
                <w:noProof/>
                <w:sz w:val="22"/>
                <w:szCs w:val="22"/>
                <w:lang w:val="it-IT"/>
              </w:rPr>
              <w:t>Laura Serrano Vértiz</w:t>
            </w:r>
          </w:p>
          <w:p w14:paraId="44EA9982" w14:textId="4B4811A0" w:rsidR="00A753A9" w:rsidRPr="00F050E0" w:rsidRDefault="00000000" w:rsidP="00F050E0">
            <w:pPr>
              <w:widowControl w:val="0"/>
              <w:autoSpaceDE w:val="0"/>
              <w:autoSpaceDN w:val="0"/>
              <w:spacing w:line="276" w:lineRule="auto"/>
              <w:rPr>
                <w:rFonts w:ascii="Times New Roman" w:eastAsia="Arial MT" w:hAnsi="Times New Roman"/>
                <w:noProof/>
                <w:sz w:val="22"/>
                <w:szCs w:val="22"/>
                <w:lang w:val="it-IT"/>
              </w:rPr>
            </w:pPr>
            <w:hyperlink r:id="rId15" w:history="1">
              <w:r w:rsidR="00A753A9" w:rsidRPr="00F050E0">
                <w:rPr>
                  <w:rStyle w:val="Hipervnculo"/>
                  <w:rFonts w:ascii="Times New Roman" w:eastAsia="Arial MT" w:hAnsi="Times New Roman"/>
                  <w:noProof/>
                  <w:sz w:val="22"/>
                  <w:szCs w:val="22"/>
                  <w:lang w:val="it-IT"/>
                </w:rPr>
                <w:t>lavz314@gmail.com</w:t>
              </w:r>
            </w:hyperlink>
          </w:p>
          <w:p w14:paraId="770FDFA6" w14:textId="76D3CE02" w:rsidR="00A753A9" w:rsidRPr="00F050E0" w:rsidRDefault="00000000" w:rsidP="00F050E0">
            <w:pPr>
              <w:widowControl w:val="0"/>
              <w:autoSpaceDE w:val="0"/>
              <w:autoSpaceDN w:val="0"/>
              <w:spacing w:line="276" w:lineRule="auto"/>
              <w:rPr>
                <w:rFonts w:ascii="Times New Roman" w:eastAsia="Arial MT" w:hAnsi="Times New Roman"/>
                <w:noProof/>
                <w:sz w:val="22"/>
                <w:szCs w:val="22"/>
                <w:lang w:val="es-PY"/>
              </w:rPr>
            </w:pPr>
            <w:hyperlink r:id="rId16" w:history="1">
              <w:r w:rsidR="00A753A9" w:rsidRPr="00F050E0">
                <w:rPr>
                  <w:rStyle w:val="Hipervnculo"/>
                  <w:rFonts w:ascii="Times New Roman" w:eastAsia="Arial MT" w:hAnsi="Times New Roman"/>
                  <w:noProof/>
                  <w:sz w:val="22"/>
                  <w:szCs w:val="22"/>
                  <w:lang w:val="es-PY"/>
                </w:rPr>
                <w:t>https://orcid.org/0009-0005-0114-8722</w:t>
              </w:r>
            </w:hyperlink>
            <w:r w:rsidR="00A753A9" w:rsidRPr="00F050E0">
              <w:rPr>
                <w:rFonts w:ascii="Times New Roman" w:eastAsia="Arial MT" w:hAnsi="Times New Roman"/>
                <w:noProof/>
                <w:sz w:val="22"/>
                <w:szCs w:val="22"/>
                <w:lang w:val="es-PY"/>
              </w:rPr>
              <w:t xml:space="preserve"> </w:t>
            </w:r>
          </w:p>
          <w:p w14:paraId="3703D1D3" w14:textId="68DE07C7" w:rsidR="00A753A9" w:rsidRPr="00F050E0" w:rsidRDefault="00A753A9" w:rsidP="00F050E0">
            <w:pPr>
              <w:widowControl w:val="0"/>
              <w:autoSpaceDE w:val="0"/>
              <w:autoSpaceDN w:val="0"/>
              <w:spacing w:line="276" w:lineRule="auto"/>
              <w:rPr>
                <w:rFonts w:ascii="Times New Roman" w:eastAsia="Arial MT" w:hAnsi="Times New Roman"/>
                <w:noProof/>
                <w:sz w:val="22"/>
                <w:szCs w:val="22"/>
                <w:lang w:val="es-PY"/>
              </w:rPr>
            </w:pPr>
            <w:r w:rsidRPr="00F050E0">
              <w:rPr>
                <w:rFonts w:ascii="Times New Roman" w:eastAsia="Arial MT" w:hAnsi="Times New Roman"/>
                <w:noProof/>
                <w:sz w:val="22"/>
                <w:szCs w:val="22"/>
                <w:lang w:val="es-PY"/>
              </w:rPr>
              <w:t>Instituto Mexicano del Seguro Social</w:t>
            </w:r>
          </w:p>
          <w:p w14:paraId="6F056FC5" w14:textId="77777777" w:rsidR="00F6543D" w:rsidRDefault="00A753A9" w:rsidP="00F050E0">
            <w:pPr>
              <w:widowControl w:val="0"/>
              <w:autoSpaceDE w:val="0"/>
              <w:autoSpaceDN w:val="0"/>
              <w:spacing w:line="276" w:lineRule="auto"/>
              <w:rPr>
                <w:rFonts w:ascii="Times New Roman" w:eastAsia="Arial MT" w:hAnsi="Times New Roman"/>
                <w:noProof/>
                <w:sz w:val="22"/>
                <w:szCs w:val="22"/>
                <w:lang w:val="es-PY"/>
              </w:rPr>
            </w:pPr>
            <w:r w:rsidRPr="00F050E0">
              <w:rPr>
                <w:rFonts w:ascii="Times New Roman" w:eastAsia="Arial MT" w:hAnsi="Times New Roman"/>
                <w:noProof/>
                <w:sz w:val="22"/>
                <w:szCs w:val="22"/>
                <w:lang w:val="es-PY"/>
              </w:rPr>
              <w:t>México</w:t>
            </w:r>
          </w:p>
          <w:p w14:paraId="4B9DF06F" w14:textId="28DD425F" w:rsidR="00F050E0" w:rsidRPr="00F050E0" w:rsidRDefault="00F050E0" w:rsidP="00F050E0">
            <w:pPr>
              <w:widowControl w:val="0"/>
              <w:autoSpaceDE w:val="0"/>
              <w:autoSpaceDN w:val="0"/>
              <w:spacing w:line="276" w:lineRule="auto"/>
              <w:rPr>
                <w:rFonts w:ascii="Times New Roman" w:eastAsia="Arial MT" w:hAnsi="Times New Roman"/>
                <w:noProof/>
                <w:sz w:val="22"/>
                <w:szCs w:val="22"/>
                <w:lang w:val="es-PY"/>
              </w:rPr>
            </w:pPr>
          </w:p>
        </w:tc>
        <w:tc>
          <w:tcPr>
            <w:tcW w:w="2500" w:type="pct"/>
          </w:tcPr>
          <w:p w14:paraId="051D9D1B" w14:textId="77777777" w:rsidR="00F6543D" w:rsidRPr="00F050E0" w:rsidRDefault="00F6543D" w:rsidP="00F050E0">
            <w:pPr>
              <w:widowControl w:val="0"/>
              <w:autoSpaceDE w:val="0"/>
              <w:autoSpaceDN w:val="0"/>
              <w:spacing w:line="276" w:lineRule="auto"/>
              <w:rPr>
                <w:rFonts w:ascii="Times New Roman" w:eastAsia="Arial MT" w:hAnsi="Times New Roman"/>
                <w:noProof/>
                <w:sz w:val="22"/>
                <w:szCs w:val="22"/>
                <w:lang w:val="es-PY"/>
              </w:rPr>
            </w:pPr>
          </w:p>
        </w:tc>
      </w:tr>
    </w:tbl>
    <w:p w14:paraId="507DCD82" w14:textId="77777777" w:rsidR="00F6543D" w:rsidRPr="007B4C00" w:rsidRDefault="00F6543D" w:rsidP="00303500">
      <w:pPr>
        <w:widowControl w:val="0"/>
        <w:tabs>
          <w:tab w:val="left" w:pos="523"/>
        </w:tabs>
        <w:autoSpaceDE w:val="0"/>
        <w:autoSpaceDN w:val="0"/>
        <w:spacing w:after="0" w:line="360" w:lineRule="auto"/>
        <w:jc w:val="both"/>
        <w:outlineLvl w:val="2"/>
        <w:rPr>
          <w:rFonts w:ascii="Times New Roman" w:eastAsia="Arial" w:hAnsi="Times New Roman" w:cs="Times New Roman"/>
          <w:b/>
          <w:bCs/>
          <w:iCs/>
          <w:noProof/>
          <w:kern w:val="0"/>
          <w:lang w:val="es-MX"/>
          <w14:ligatures w14:val="none"/>
        </w:rPr>
      </w:pPr>
      <w:r w:rsidRPr="007B4C00">
        <w:rPr>
          <w:rFonts w:ascii="Times New Roman" w:eastAsia="Arial" w:hAnsi="Times New Roman" w:cs="Times New Roman"/>
          <w:b/>
          <w:bCs/>
          <w:iCs/>
          <w:noProof/>
          <w:kern w:val="0"/>
          <w:lang w:val="es-MX"/>
          <w14:ligatures w14:val="none"/>
        </w:rPr>
        <w:t>RESUMEN</w:t>
      </w:r>
    </w:p>
    <w:p w14:paraId="3EDEA44F" w14:textId="5A97CDF2" w:rsidR="001E2659" w:rsidRPr="000924AE" w:rsidRDefault="00D4484B" w:rsidP="00303500">
      <w:pPr>
        <w:widowControl w:val="0"/>
        <w:autoSpaceDE w:val="0"/>
        <w:autoSpaceDN w:val="0"/>
        <w:spacing w:after="0" w:line="360" w:lineRule="auto"/>
        <w:jc w:val="both"/>
        <w:rPr>
          <w:rFonts w:ascii="Times New Roman" w:eastAsia="Arial" w:hAnsi="Times New Roman" w:cs="Times New Roman"/>
          <w:bCs/>
          <w:iCs/>
          <w:noProof/>
          <w:kern w:val="0"/>
          <w:lang w:val="en-US"/>
          <w14:ligatures w14:val="none"/>
        </w:rPr>
      </w:pPr>
      <w:bookmarkStart w:id="3" w:name="_Hlk132717793"/>
      <w:r w:rsidRPr="007B4C00">
        <w:rPr>
          <w:rFonts w:ascii="Times New Roman" w:eastAsia="Arial" w:hAnsi="Times New Roman" w:cs="Times New Roman"/>
          <w:bCs/>
          <w:iCs/>
          <w:noProof/>
          <w:kern w:val="0"/>
          <w:lang w:val="es-PY"/>
          <w14:ligatures w14:val="none"/>
        </w:rPr>
        <w:t xml:space="preserve">La ERC representa una condición de salud con un alto impacto dentro del grupo de enfermedades crónicas no transmisibles y su posición en términos del efecto en la GBD ha cambiado de manera significativa en los últimos años para México. Las infecciones peritoneales siguen constituyendo una complicación relevante de la DP, por su incidencia todavía elevada y por sus importantes consecuencias clínicas, el objetivo de este trabajo fue determinar  la incidencia de peritonitis asociada a </w:t>
      </w:r>
      <w:r w:rsidR="003648AE" w:rsidRPr="007B4C00">
        <w:rPr>
          <w:rFonts w:ascii="Times New Roman" w:eastAsia="Arial" w:hAnsi="Times New Roman" w:cs="Times New Roman"/>
          <w:bCs/>
          <w:iCs/>
          <w:noProof/>
          <w:kern w:val="0"/>
          <w:lang w:val="es-PY"/>
          <w14:ligatures w14:val="none"/>
        </w:rPr>
        <w:t xml:space="preserve">dp </w:t>
      </w:r>
      <w:r w:rsidRPr="007B4C00">
        <w:rPr>
          <w:rFonts w:ascii="Times New Roman" w:eastAsia="Arial" w:hAnsi="Times New Roman" w:cs="Times New Roman"/>
          <w:bCs/>
          <w:iCs/>
          <w:noProof/>
          <w:kern w:val="0"/>
          <w:lang w:val="es-PY"/>
          <w14:ligatures w14:val="none"/>
        </w:rPr>
        <w:t xml:space="preserve"> a 6 meses de postoperatorio de catéter de Tenckhoff en el hospital general de zona #23 </w:t>
      </w:r>
      <w:r w:rsidR="003648AE" w:rsidRPr="007B4C00">
        <w:rPr>
          <w:rFonts w:ascii="Times New Roman" w:eastAsia="Arial" w:hAnsi="Times New Roman" w:cs="Times New Roman"/>
          <w:bCs/>
          <w:iCs/>
          <w:noProof/>
          <w:kern w:val="0"/>
          <w:lang w:val="es-PY"/>
          <w14:ligatures w14:val="none"/>
        </w:rPr>
        <w:t>.</w:t>
      </w:r>
      <w:r w:rsidRPr="007B4C00">
        <w:rPr>
          <w:rFonts w:ascii="Times New Roman" w:eastAsia="Arial" w:hAnsi="Times New Roman" w:cs="Times New Roman"/>
          <w:bCs/>
          <w:iCs/>
          <w:noProof/>
          <w:kern w:val="0"/>
          <w:lang w:val="es-PY"/>
          <w14:ligatures w14:val="none"/>
        </w:rPr>
        <w:t>Este estudio fue observacional, descriptivo, prospectivo, longitudinal, unicéntrico y homodemico donde se incluyeron pacientes con enfermedad renal crónica que cuenten con colocación de catéter de Tenckhoff con antecedente de peritonitis asociado a diálisis peritoneal en un tiempo no mayor a 6 meses post colocación y se confirmó diagnóstico de peritonitis con citoquimico de soluc</w:t>
      </w:r>
      <w:r w:rsidR="003648AE" w:rsidRPr="007B4C00">
        <w:rPr>
          <w:rFonts w:ascii="Times New Roman" w:eastAsia="Arial" w:hAnsi="Times New Roman" w:cs="Times New Roman"/>
          <w:bCs/>
          <w:iCs/>
          <w:noProof/>
          <w:kern w:val="0"/>
          <w:lang w:val="es-PY"/>
          <w14:ligatures w14:val="none"/>
        </w:rPr>
        <w:t>ión dializante intraperitoneal. S</w:t>
      </w:r>
      <w:r w:rsidRPr="007B4C00">
        <w:rPr>
          <w:rFonts w:ascii="Times New Roman" w:eastAsia="Arial" w:hAnsi="Times New Roman" w:cs="Times New Roman"/>
          <w:bCs/>
          <w:iCs/>
          <w:noProof/>
          <w:kern w:val="0"/>
          <w:lang w:val="es-PY"/>
          <w14:ligatures w14:val="none"/>
        </w:rPr>
        <w:t>e recolectó un total de 129 pacientes</w:t>
      </w:r>
      <w:r w:rsidR="00303500">
        <w:rPr>
          <w:rFonts w:ascii="Times New Roman" w:eastAsia="Arial" w:hAnsi="Times New Roman" w:cs="Times New Roman"/>
          <w:bCs/>
          <w:iCs/>
          <w:noProof/>
          <w:kern w:val="0"/>
          <w:lang w:val="es-PY"/>
          <w14:ligatures w14:val="none"/>
        </w:rPr>
        <w:t xml:space="preserve"> </w:t>
      </w:r>
      <w:r w:rsidRPr="007B4C00">
        <w:rPr>
          <w:rFonts w:ascii="Times New Roman" w:eastAsia="Arial" w:hAnsi="Times New Roman" w:cs="Times New Roman"/>
          <w:bCs/>
          <w:iCs/>
          <w:noProof/>
          <w:kern w:val="0"/>
          <w:lang w:val="es-PY"/>
          <w14:ligatures w14:val="none"/>
        </w:rPr>
        <w:t xml:space="preserve">con enfermedad renal crónica en terapia de sustitución renal en </w:t>
      </w:r>
      <w:r w:rsidR="003648AE" w:rsidRPr="007B4C00">
        <w:rPr>
          <w:rFonts w:ascii="Times New Roman" w:eastAsia="Arial" w:hAnsi="Times New Roman" w:cs="Times New Roman"/>
          <w:bCs/>
          <w:iCs/>
          <w:noProof/>
          <w:kern w:val="0"/>
          <w:lang w:val="es-PY"/>
          <w14:ligatures w14:val="none"/>
        </w:rPr>
        <w:t>DP,</w:t>
      </w:r>
      <w:r w:rsidRPr="007B4C00">
        <w:rPr>
          <w:rFonts w:ascii="Times New Roman" w:eastAsia="Arial" w:hAnsi="Times New Roman" w:cs="Times New Roman"/>
          <w:bCs/>
          <w:iCs/>
          <w:noProof/>
          <w:kern w:val="0"/>
          <w:lang w:val="es-PY"/>
          <w14:ligatures w14:val="none"/>
        </w:rPr>
        <w:t xml:space="preserve"> 65 pacientes con diagnóstico de peritonitis asociado a </w:t>
      </w:r>
      <w:r w:rsidR="003648AE" w:rsidRPr="007B4C00">
        <w:rPr>
          <w:rFonts w:ascii="Times New Roman" w:eastAsia="Arial" w:hAnsi="Times New Roman" w:cs="Times New Roman"/>
          <w:bCs/>
          <w:iCs/>
          <w:noProof/>
          <w:kern w:val="0"/>
          <w:lang w:val="es-PY"/>
          <w14:ligatures w14:val="none"/>
        </w:rPr>
        <w:t>dp</w:t>
      </w:r>
      <w:r w:rsidRPr="007B4C00">
        <w:rPr>
          <w:rFonts w:ascii="Times New Roman" w:eastAsia="Arial" w:hAnsi="Times New Roman" w:cs="Times New Roman"/>
          <w:bCs/>
          <w:iCs/>
          <w:noProof/>
          <w:kern w:val="0"/>
          <w:lang w:val="es-PY"/>
          <w14:ligatures w14:val="none"/>
        </w:rPr>
        <w:t xml:space="preserve"> en el año seleccionado, con la realización de este estudio se documentó una incidencia de peritonitis asociado a </w:t>
      </w:r>
      <w:r w:rsidR="003648AE" w:rsidRPr="007B4C00">
        <w:rPr>
          <w:rFonts w:ascii="Times New Roman" w:eastAsia="Arial" w:hAnsi="Times New Roman" w:cs="Times New Roman"/>
          <w:bCs/>
          <w:iCs/>
          <w:noProof/>
          <w:kern w:val="0"/>
          <w:lang w:val="es-PY"/>
          <w14:ligatures w14:val="none"/>
        </w:rPr>
        <w:t>dp</w:t>
      </w:r>
      <w:r w:rsidRPr="007B4C00">
        <w:rPr>
          <w:rFonts w:ascii="Times New Roman" w:eastAsia="Arial" w:hAnsi="Times New Roman" w:cs="Times New Roman"/>
          <w:bCs/>
          <w:iCs/>
          <w:noProof/>
          <w:kern w:val="0"/>
          <w:lang w:val="es-PY"/>
          <w14:ligatures w14:val="none"/>
        </w:rPr>
        <w:t xml:space="preserve"> de 33. </w:t>
      </w:r>
      <w:r w:rsidRPr="000924AE">
        <w:rPr>
          <w:rFonts w:ascii="Times New Roman" w:eastAsia="Arial" w:hAnsi="Times New Roman" w:cs="Times New Roman"/>
          <w:bCs/>
          <w:iCs/>
          <w:noProof/>
          <w:kern w:val="0"/>
          <w:lang w:val="en-US"/>
          <w14:ligatures w14:val="none"/>
        </w:rPr>
        <w:t xml:space="preserve">8 por cada 100 </w:t>
      </w:r>
      <w:r w:rsidR="003648AE" w:rsidRPr="000924AE">
        <w:rPr>
          <w:rFonts w:ascii="Times New Roman" w:eastAsia="Arial" w:hAnsi="Times New Roman" w:cs="Times New Roman"/>
          <w:bCs/>
          <w:iCs/>
          <w:noProof/>
          <w:kern w:val="0"/>
          <w:lang w:val="en-US"/>
          <w14:ligatures w14:val="none"/>
        </w:rPr>
        <w:t>p</w:t>
      </w:r>
      <w:r w:rsidRPr="000924AE">
        <w:rPr>
          <w:rFonts w:ascii="Times New Roman" w:eastAsia="Arial" w:hAnsi="Times New Roman" w:cs="Times New Roman"/>
          <w:bCs/>
          <w:iCs/>
          <w:noProof/>
          <w:kern w:val="0"/>
          <w:lang w:val="en-US"/>
          <w14:ligatures w14:val="none"/>
        </w:rPr>
        <w:t>acientes.</w:t>
      </w:r>
    </w:p>
    <w:p w14:paraId="2E641190" w14:textId="77777777" w:rsidR="008A37FB" w:rsidRPr="000924AE" w:rsidRDefault="008A37FB" w:rsidP="00303500">
      <w:pPr>
        <w:widowControl w:val="0"/>
        <w:autoSpaceDE w:val="0"/>
        <w:autoSpaceDN w:val="0"/>
        <w:spacing w:after="0" w:line="360" w:lineRule="auto"/>
        <w:jc w:val="both"/>
        <w:rPr>
          <w:rFonts w:ascii="Times New Roman" w:eastAsia="Arial" w:hAnsi="Times New Roman" w:cs="Times New Roman"/>
          <w:bCs/>
          <w:iCs/>
          <w:noProof/>
          <w:kern w:val="0"/>
          <w:lang w:val="en-US"/>
          <w14:ligatures w14:val="none"/>
        </w:rPr>
      </w:pPr>
    </w:p>
    <w:p w14:paraId="66696479" w14:textId="2BCA32DC" w:rsidR="00FC0B40" w:rsidRDefault="00F6543D" w:rsidP="0002304B">
      <w:pPr>
        <w:widowControl w:val="0"/>
        <w:autoSpaceDE w:val="0"/>
        <w:autoSpaceDN w:val="0"/>
        <w:spacing w:after="0" w:line="360" w:lineRule="auto"/>
        <w:jc w:val="both"/>
        <w:rPr>
          <w:rFonts w:ascii="Times New Roman" w:eastAsia="Arial MT" w:hAnsi="Times New Roman" w:cs="Times New Roman"/>
          <w:noProof/>
          <w:kern w:val="0"/>
          <w:lang w:val="en-US"/>
          <w14:ligatures w14:val="none"/>
        </w:rPr>
      </w:pPr>
      <w:r w:rsidRPr="00CA32D8">
        <w:rPr>
          <w:rFonts w:ascii="Times New Roman" w:eastAsia="Arial" w:hAnsi="Times New Roman" w:cs="Times New Roman"/>
          <w:b/>
          <w:bCs/>
          <w:i/>
          <w:iCs/>
          <w:noProof/>
          <w:kern w:val="0"/>
          <w:lang w:val="en-US"/>
          <w14:ligatures w14:val="none"/>
        </w:rPr>
        <w:t>Palabras clave:</w:t>
      </w:r>
      <w:r w:rsidR="003E0E75" w:rsidRPr="00CA32D8">
        <w:rPr>
          <w:rFonts w:ascii="Times New Roman" w:eastAsia="Arial" w:hAnsi="Times New Roman" w:cs="Times New Roman"/>
          <w:bCs/>
          <w:i/>
          <w:iCs/>
          <w:noProof/>
          <w:kern w:val="0"/>
          <w:lang w:val="en-US"/>
          <w14:ligatures w14:val="none"/>
        </w:rPr>
        <w:t xml:space="preserve"> </w:t>
      </w:r>
      <w:r w:rsidR="008A37FB" w:rsidRPr="00CA32D8">
        <w:rPr>
          <w:rFonts w:ascii="Times New Roman" w:eastAsia="Arial" w:hAnsi="Times New Roman" w:cs="Times New Roman"/>
          <w:bCs/>
          <w:noProof/>
          <w:kern w:val="0"/>
          <w:lang w:val="en-US"/>
          <w14:ligatures w14:val="none"/>
        </w:rPr>
        <w:t xml:space="preserve">peritonitis, renal, cateter, </w:t>
      </w:r>
      <w:r w:rsidR="00CF138B" w:rsidRPr="00CA32D8">
        <w:rPr>
          <w:rFonts w:ascii="Times New Roman" w:eastAsia="Arial" w:hAnsi="Times New Roman" w:cs="Times New Roman"/>
          <w:bCs/>
          <w:noProof/>
          <w:kern w:val="0"/>
          <w:lang w:val="en-US"/>
          <w14:ligatures w14:val="none"/>
        </w:rPr>
        <w:t>T</w:t>
      </w:r>
      <w:r w:rsidR="008A37FB" w:rsidRPr="00CA32D8">
        <w:rPr>
          <w:rFonts w:ascii="Times New Roman" w:eastAsia="Arial" w:hAnsi="Times New Roman" w:cs="Times New Roman"/>
          <w:bCs/>
          <w:noProof/>
          <w:kern w:val="0"/>
          <w:lang w:val="en-US"/>
          <w14:ligatures w14:val="none"/>
        </w:rPr>
        <w:t>enchkoff</w:t>
      </w:r>
      <w:bookmarkEnd w:id="3"/>
    </w:p>
    <w:p w14:paraId="070DD9F9" w14:textId="562FC707" w:rsidR="00FC0B40" w:rsidRDefault="00FC0B40">
      <w:pPr>
        <w:rPr>
          <w:rFonts w:ascii="Times New Roman" w:eastAsia="Arial MT" w:hAnsi="Times New Roman" w:cs="Times New Roman"/>
          <w:noProof/>
          <w:kern w:val="0"/>
          <w:lang w:val="en-US"/>
          <w14:ligatures w14:val="none"/>
        </w:rPr>
      </w:pPr>
      <w:r>
        <w:rPr>
          <w:rFonts w:ascii="Times New Roman" w:eastAsia="Arial MT" w:hAnsi="Times New Roman" w:cs="Times New Roman"/>
          <w:noProof/>
          <w:kern w:val="0"/>
          <w:lang w:val="en-US"/>
          <w14:ligatures w14:val="none"/>
        </w:rPr>
        <w:br w:type="page"/>
      </w:r>
    </w:p>
    <w:p w14:paraId="58948B62" w14:textId="6D002604" w:rsidR="003E0E75" w:rsidRDefault="003E0E75" w:rsidP="006161A9">
      <w:pPr>
        <w:spacing w:after="0" w:line="276" w:lineRule="auto"/>
        <w:rPr>
          <w:rFonts w:ascii="Times New Roman" w:eastAsia="Arial" w:hAnsi="Times New Roman" w:cs="Times New Roman"/>
          <w:b/>
          <w:bCs/>
          <w:noProof/>
          <w:kern w:val="0"/>
          <w:sz w:val="28"/>
          <w:szCs w:val="24"/>
          <w:lang w:val="en-US" w:eastAsia="es-PY"/>
          <w14:ligatures w14:val="none"/>
        </w:rPr>
      </w:pPr>
      <w:r w:rsidRPr="007B4C00">
        <w:rPr>
          <w:rFonts w:ascii="Times New Roman" w:eastAsia="Arial" w:hAnsi="Times New Roman" w:cs="Times New Roman"/>
          <w:b/>
          <w:bCs/>
          <w:noProof/>
          <w:kern w:val="0"/>
          <w:sz w:val="28"/>
          <w:szCs w:val="24"/>
          <w:lang w:val="en-US" w:eastAsia="es-PY"/>
          <w14:ligatures w14:val="none"/>
        </w:rPr>
        <w:lastRenderedPageBreak/>
        <w:t>Incidence of peritonitis associated with peritoneal dialysis 6 months after Tenchkoff catheter placement in the general hospital of zone N</w:t>
      </w:r>
      <w:r w:rsidR="00EA6CA3" w:rsidRPr="007B4C00">
        <w:rPr>
          <w:rFonts w:ascii="Times New Roman" w:eastAsia="Arial" w:hAnsi="Times New Roman" w:cs="Times New Roman"/>
          <w:b/>
          <w:bCs/>
          <w:noProof/>
          <w:kern w:val="0"/>
          <w:sz w:val="28"/>
          <w:szCs w:val="24"/>
          <w:lang w:val="en-US" w:eastAsia="es-PY"/>
          <w14:ligatures w14:val="none"/>
        </w:rPr>
        <w:t>º</w:t>
      </w:r>
      <w:r w:rsidRPr="007B4C00">
        <w:rPr>
          <w:rFonts w:ascii="Times New Roman" w:eastAsia="Arial" w:hAnsi="Times New Roman" w:cs="Times New Roman"/>
          <w:b/>
          <w:bCs/>
          <w:noProof/>
          <w:kern w:val="0"/>
          <w:sz w:val="28"/>
          <w:szCs w:val="24"/>
          <w:lang w:val="en-US" w:eastAsia="es-PY"/>
          <w14:ligatures w14:val="none"/>
        </w:rPr>
        <w:t xml:space="preserve"> 23</w:t>
      </w:r>
    </w:p>
    <w:p w14:paraId="422945E2" w14:textId="77777777" w:rsidR="00CA32D8" w:rsidRPr="007B4C00" w:rsidRDefault="00CA32D8" w:rsidP="0002304B">
      <w:pPr>
        <w:spacing w:after="0" w:line="240" w:lineRule="auto"/>
        <w:rPr>
          <w:rFonts w:ascii="Times New Roman" w:eastAsia="Arial MT" w:hAnsi="Times New Roman" w:cs="Times New Roman"/>
          <w:noProof/>
          <w:kern w:val="0"/>
          <w:lang w:val="en-US"/>
          <w14:ligatures w14:val="none"/>
        </w:rPr>
      </w:pPr>
    </w:p>
    <w:p w14:paraId="7B0AAC6C" w14:textId="55B41554" w:rsidR="00F6543D" w:rsidRPr="007B4C00" w:rsidRDefault="00F6543D" w:rsidP="00CA32D8">
      <w:pPr>
        <w:widowControl w:val="0"/>
        <w:tabs>
          <w:tab w:val="left" w:pos="523"/>
        </w:tabs>
        <w:autoSpaceDE w:val="0"/>
        <w:autoSpaceDN w:val="0"/>
        <w:spacing w:after="0" w:line="360" w:lineRule="auto"/>
        <w:jc w:val="both"/>
        <w:outlineLvl w:val="2"/>
        <w:rPr>
          <w:rFonts w:ascii="Times New Roman" w:eastAsia="Arial" w:hAnsi="Times New Roman" w:cs="Times New Roman"/>
          <w:b/>
          <w:bCs/>
          <w:iCs/>
          <w:noProof/>
          <w:kern w:val="0"/>
          <w:lang w:val="en-US"/>
          <w14:ligatures w14:val="none"/>
        </w:rPr>
      </w:pPr>
      <w:r w:rsidRPr="007B4C00">
        <w:rPr>
          <w:rFonts w:ascii="Times New Roman" w:eastAsia="Arial" w:hAnsi="Times New Roman" w:cs="Times New Roman"/>
          <w:b/>
          <w:bCs/>
          <w:iCs/>
          <w:noProof/>
          <w:kern w:val="0"/>
          <w:lang w:val="en-US"/>
          <w14:ligatures w14:val="none"/>
        </w:rPr>
        <w:t>ABSTRACT</w:t>
      </w:r>
    </w:p>
    <w:p w14:paraId="218980A1" w14:textId="12999D5E" w:rsidR="003648AE" w:rsidRPr="007B4C00" w:rsidRDefault="003648AE" w:rsidP="00CA32D8">
      <w:pPr>
        <w:spacing w:after="0" w:line="360" w:lineRule="auto"/>
        <w:jc w:val="both"/>
        <w:rPr>
          <w:rFonts w:ascii="Times New Roman" w:hAnsi="Times New Roman" w:cs="Times New Roman"/>
        </w:rPr>
      </w:pPr>
      <w:r w:rsidRPr="007B4C00">
        <w:rPr>
          <w:rFonts w:ascii="Times New Roman" w:hAnsi="Times New Roman" w:cs="Times New Roman"/>
          <w:lang w:val="en-US"/>
        </w:rPr>
        <w:t xml:space="preserve">CKD represents a health condition with a high impact within the group of chronic non-communicable diseases and its position in terms of the effect on GBD has changed significantly in recent years for Mexico. Peritoneal infections continue to constitute a relevant complication of PD, due to their still high incidence and their important clinical consequences. The objective of this work was to determine the incidence of peritonitis associated with PD 6 months after Tenckhoff catheter surgery in the Hospital. General area #23. This study was observational, descriptive, prospective, longitudinal, single-center and </w:t>
      </w:r>
      <w:proofErr w:type="spellStart"/>
      <w:r w:rsidRPr="007B4C00">
        <w:rPr>
          <w:rFonts w:ascii="Times New Roman" w:hAnsi="Times New Roman" w:cs="Times New Roman"/>
          <w:lang w:val="en-US"/>
        </w:rPr>
        <w:t>homodemic</w:t>
      </w:r>
      <w:proofErr w:type="spellEnd"/>
      <w:r w:rsidRPr="007B4C00">
        <w:rPr>
          <w:rFonts w:ascii="Times New Roman" w:hAnsi="Times New Roman" w:cs="Times New Roman"/>
          <w:lang w:val="en-US"/>
        </w:rPr>
        <w:t xml:space="preserve"> where patients with chronic kidney disease who had a Tenckhoff catheter placed were included. with a history of peritonitis associated with peritoneal dialysis in a period of no more than 6 months after placement and a diagnosis of peritonitis was confirmed with intraperitoneal dialysate solution cytochemistry. A total of 129 patients with chronic kidney disease on renal replacement therapy on PD were collected, 65 patients with a diagnosis of peritonitis associated with PD in the selected year. With this study, an incidence of peritonitis associated with PD of 33. </w:t>
      </w:r>
      <w:r w:rsidRPr="007B4C00">
        <w:rPr>
          <w:rFonts w:ascii="Times New Roman" w:hAnsi="Times New Roman" w:cs="Times New Roman"/>
        </w:rPr>
        <w:t xml:space="preserve">8 per 100 </w:t>
      </w:r>
      <w:proofErr w:type="spellStart"/>
      <w:r w:rsidRPr="007B4C00">
        <w:rPr>
          <w:rFonts w:ascii="Times New Roman" w:hAnsi="Times New Roman" w:cs="Times New Roman"/>
        </w:rPr>
        <w:t>patients</w:t>
      </w:r>
      <w:proofErr w:type="spellEnd"/>
      <w:r w:rsidRPr="007B4C00">
        <w:rPr>
          <w:rFonts w:ascii="Times New Roman" w:hAnsi="Times New Roman" w:cs="Times New Roman"/>
        </w:rPr>
        <w:t>.</w:t>
      </w:r>
    </w:p>
    <w:p w14:paraId="094F848D" w14:textId="77777777" w:rsidR="00F6543D" w:rsidRPr="007B4C00" w:rsidRDefault="00F6543D" w:rsidP="00CA32D8">
      <w:pPr>
        <w:widowControl w:val="0"/>
        <w:autoSpaceDE w:val="0"/>
        <w:autoSpaceDN w:val="0"/>
        <w:spacing w:after="0" w:line="360" w:lineRule="auto"/>
        <w:jc w:val="both"/>
        <w:rPr>
          <w:rFonts w:ascii="Times New Roman" w:eastAsia="Arial MT" w:hAnsi="Times New Roman" w:cs="Times New Roman"/>
          <w:noProof/>
          <w:kern w:val="0"/>
          <w:lang w:val="es-MX"/>
          <w14:ligatures w14:val="none"/>
        </w:rPr>
      </w:pPr>
    </w:p>
    <w:p w14:paraId="4A9CC926" w14:textId="61CDE543" w:rsidR="00F6543D" w:rsidRDefault="00F6543D" w:rsidP="00CA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bCs/>
          <w:noProof/>
          <w:kern w:val="0"/>
          <w:lang w:val="es-MX" w:eastAsia="es-EC"/>
          <w14:ligatures w14:val="none"/>
        </w:rPr>
      </w:pPr>
      <w:r w:rsidRPr="007B4C00">
        <w:rPr>
          <w:rFonts w:ascii="Times New Roman" w:eastAsia="Arial" w:hAnsi="Times New Roman" w:cs="Times New Roman"/>
          <w:b/>
          <w:i/>
          <w:iCs/>
          <w:noProof/>
          <w:kern w:val="0"/>
          <w:lang w:val="es-MX" w:eastAsia="es-EC"/>
          <w14:ligatures w14:val="none"/>
        </w:rPr>
        <w:t>Keywords</w:t>
      </w:r>
      <w:r w:rsidRPr="007B4C00">
        <w:rPr>
          <w:rFonts w:ascii="Times New Roman" w:eastAsia="Arial" w:hAnsi="Times New Roman" w:cs="Times New Roman"/>
          <w:b/>
          <w:noProof/>
          <w:kern w:val="0"/>
          <w:lang w:val="es-MX" w:eastAsia="es-EC"/>
          <w14:ligatures w14:val="none"/>
        </w:rPr>
        <w:t>:</w:t>
      </w:r>
      <w:r w:rsidR="003E0E75" w:rsidRPr="007B4C00">
        <w:rPr>
          <w:rFonts w:ascii="Times New Roman" w:eastAsia="Arial" w:hAnsi="Times New Roman" w:cs="Times New Roman"/>
          <w:b/>
          <w:noProof/>
          <w:kern w:val="0"/>
          <w:lang w:val="es-MX" w:eastAsia="es-EC"/>
          <w14:ligatures w14:val="none"/>
        </w:rPr>
        <w:t xml:space="preserve"> </w:t>
      </w:r>
      <w:r w:rsidR="00CA32D8" w:rsidRPr="00CA32D8">
        <w:rPr>
          <w:rFonts w:ascii="Times New Roman" w:eastAsia="Arial" w:hAnsi="Times New Roman" w:cs="Times New Roman"/>
          <w:bCs/>
          <w:noProof/>
          <w:kern w:val="0"/>
          <w:lang w:val="es-MX" w:eastAsia="es-EC"/>
          <w14:ligatures w14:val="none"/>
        </w:rPr>
        <w:t xml:space="preserve">peritonitis, renal, catheter, </w:t>
      </w:r>
      <w:r w:rsidR="00CA32D8">
        <w:rPr>
          <w:rFonts w:ascii="Times New Roman" w:eastAsia="Arial" w:hAnsi="Times New Roman" w:cs="Times New Roman"/>
          <w:bCs/>
          <w:noProof/>
          <w:kern w:val="0"/>
          <w:lang w:val="es-MX" w:eastAsia="es-EC"/>
          <w14:ligatures w14:val="none"/>
        </w:rPr>
        <w:t>T</w:t>
      </w:r>
      <w:r w:rsidR="00CA32D8" w:rsidRPr="00CA32D8">
        <w:rPr>
          <w:rFonts w:ascii="Times New Roman" w:eastAsia="Arial" w:hAnsi="Times New Roman" w:cs="Times New Roman"/>
          <w:bCs/>
          <w:noProof/>
          <w:kern w:val="0"/>
          <w:lang w:val="es-MX" w:eastAsia="es-EC"/>
          <w14:ligatures w14:val="none"/>
        </w:rPr>
        <w:t>enchkoff</w:t>
      </w:r>
    </w:p>
    <w:p w14:paraId="116F1099" w14:textId="77777777" w:rsidR="00026AA6" w:rsidRDefault="00026AA6" w:rsidP="00CA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bCs/>
          <w:noProof/>
          <w:kern w:val="0"/>
          <w:lang w:val="es-MX" w:eastAsia="es-EC"/>
          <w14:ligatures w14:val="none"/>
        </w:rPr>
      </w:pPr>
    </w:p>
    <w:p w14:paraId="61994AB8" w14:textId="77777777" w:rsidR="00026AA6" w:rsidRPr="007B4C00" w:rsidRDefault="00026AA6" w:rsidP="00CA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w:hAnsi="Times New Roman" w:cs="Times New Roman"/>
          <w:noProof/>
          <w:kern w:val="0"/>
          <w:lang w:val="es-MX" w:eastAsia="es-EC"/>
          <w14:ligatures w14:val="none"/>
        </w:rPr>
      </w:pPr>
    </w:p>
    <w:p w14:paraId="7EBC19FE" w14:textId="0FB61C50" w:rsidR="00F6543D" w:rsidRPr="007B4C00" w:rsidRDefault="00F6543D" w:rsidP="00CA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Arial" w:hAnsi="Times New Roman" w:cs="Times New Roman"/>
          <w:i/>
          <w:noProof/>
          <w:kern w:val="0"/>
          <w:lang w:val="es-MX" w:eastAsia="es-EC"/>
          <w14:ligatures w14:val="none"/>
        </w:rPr>
      </w:pPr>
      <w:r w:rsidRPr="007B4C00">
        <w:rPr>
          <w:rFonts w:ascii="Times New Roman" w:eastAsia="Arial" w:hAnsi="Times New Roman" w:cs="Times New Roman"/>
          <w:i/>
          <w:noProof/>
          <w:kern w:val="0"/>
          <w:lang w:val="es-MX" w:eastAsia="es-EC"/>
          <w14:ligatures w14:val="none"/>
        </w:rPr>
        <w:t xml:space="preserve">Artículo recibido 15 </w:t>
      </w:r>
      <w:r w:rsidR="00026AA6">
        <w:rPr>
          <w:rFonts w:ascii="Times New Roman" w:eastAsia="Arial" w:hAnsi="Times New Roman" w:cs="Times New Roman"/>
          <w:i/>
          <w:noProof/>
          <w:kern w:val="0"/>
          <w:lang w:val="es-MX" w:eastAsia="es-EC"/>
          <w14:ligatures w14:val="none"/>
        </w:rPr>
        <w:t>noviembre</w:t>
      </w:r>
      <w:r w:rsidRPr="007B4C00">
        <w:rPr>
          <w:rFonts w:ascii="Times New Roman" w:eastAsia="Arial" w:hAnsi="Times New Roman" w:cs="Times New Roman"/>
          <w:i/>
          <w:noProof/>
          <w:kern w:val="0"/>
          <w:lang w:val="es-MX" w:eastAsia="es-EC"/>
          <w14:ligatures w14:val="none"/>
        </w:rPr>
        <w:t xml:space="preserve"> 202</w:t>
      </w:r>
      <w:r w:rsidR="00026AA6">
        <w:rPr>
          <w:rFonts w:ascii="Times New Roman" w:eastAsia="Arial" w:hAnsi="Times New Roman" w:cs="Times New Roman"/>
          <w:i/>
          <w:noProof/>
          <w:kern w:val="0"/>
          <w:lang w:val="es-MX" w:eastAsia="es-EC"/>
          <w14:ligatures w14:val="none"/>
        </w:rPr>
        <w:t>4</w:t>
      </w:r>
    </w:p>
    <w:p w14:paraId="2C7C4292" w14:textId="667743EC" w:rsidR="00D94707" w:rsidRPr="007B4C00" w:rsidRDefault="00F6543D" w:rsidP="00CA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Arial" w:hAnsi="Times New Roman" w:cs="Times New Roman"/>
          <w:i/>
          <w:noProof/>
          <w:kern w:val="0"/>
          <w:lang w:val="es-MX" w:eastAsia="es-EC"/>
          <w14:ligatures w14:val="none"/>
        </w:rPr>
      </w:pPr>
      <w:r w:rsidRPr="007B4C00">
        <w:rPr>
          <w:rFonts w:ascii="Times New Roman" w:eastAsia="Arial" w:hAnsi="Times New Roman" w:cs="Times New Roman"/>
          <w:i/>
          <w:noProof/>
          <w:kern w:val="0"/>
          <w:lang w:val="es-MX" w:eastAsia="es-EC"/>
          <w14:ligatures w14:val="none"/>
        </w:rPr>
        <w:t xml:space="preserve">Aceptado para publicación: </w:t>
      </w:r>
      <w:r w:rsidR="00481A91">
        <w:rPr>
          <w:rFonts w:ascii="Times New Roman" w:eastAsia="Arial" w:hAnsi="Times New Roman" w:cs="Times New Roman"/>
          <w:i/>
          <w:noProof/>
          <w:kern w:val="0"/>
          <w:lang w:val="es-MX" w:eastAsia="es-EC"/>
          <w14:ligatures w14:val="none"/>
        </w:rPr>
        <w:t>29</w:t>
      </w:r>
      <w:r w:rsidRPr="007B4C00">
        <w:rPr>
          <w:rFonts w:ascii="Times New Roman" w:eastAsia="Arial" w:hAnsi="Times New Roman" w:cs="Times New Roman"/>
          <w:i/>
          <w:noProof/>
          <w:kern w:val="0"/>
          <w:lang w:val="es-MX" w:eastAsia="es-EC"/>
          <w14:ligatures w14:val="none"/>
        </w:rPr>
        <w:t xml:space="preserve"> </w:t>
      </w:r>
      <w:r w:rsidR="00026AA6">
        <w:rPr>
          <w:rFonts w:ascii="Times New Roman" w:eastAsia="Arial" w:hAnsi="Times New Roman" w:cs="Times New Roman"/>
          <w:i/>
          <w:noProof/>
          <w:kern w:val="0"/>
          <w:lang w:val="es-MX" w:eastAsia="es-EC"/>
          <w14:ligatures w14:val="none"/>
        </w:rPr>
        <w:t>diciembre</w:t>
      </w:r>
      <w:r w:rsidRPr="007B4C00">
        <w:rPr>
          <w:rFonts w:ascii="Times New Roman" w:eastAsia="Arial" w:hAnsi="Times New Roman" w:cs="Times New Roman"/>
          <w:i/>
          <w:noProof/>
          <w:kern w:val="0"/>
          <w:lang w:val="es-MX" w:eastAsia="es-EC"/>
          <w14:ligatures w14:val="none"/>
        </w:rPr>
        <w:t xml:space="preserve"> 202</w:t>
      </w:r>
      <w:r w:rsidR="00026AA6">
        <w:rPr>
          <w:rFonts w:ascii="Times New Roman" w:eastAsia="Arial" w:hAnsi="Times New Roman" w:cs="Times New Roman"/>
          <w:i/>
          <w:noProof/>
          <w:kern w:val="0"/>
          <w:lang w:val="es-MX" w:eastAsia="es-EC"/>
          <w14:ligatures w14:val="none"/>
        </w:rPr>
        <w:t>4</w:t>
      </w:r>
    </w:p>
    <w:p w14:paraId="20E3F981" w14:textId="0F539834" w:rsidR="00482365" w:rsidRPr="00A20A4C" w:rsidRDefault="00F6543D" w:rsidP="00A20A4C">
      <w:pPr>
        <w:spacing w:after="0" w:line="360" w:lineRule="auto"/>
        <w:rPr>
          <w:rFonts w:ascii="Times New Roman" w:eastAsia="Times New Roman" w:hAnsi="Times New Roman" w:cs="Times New Roman"/>
          <w:b/>
          <w:bCs/>
          <w:noProof/>
          <w:color w:val="000000"/>
          <w:kern w:val="0"/>
          <w:lang w:val="es-PY"/>
          <w14:ligatures w14:val="none"/>
        </w:rPr>
      </w:pPr>
      <w:r w:rsidRPr="007B4C00">
        <w:rPr>
          <w:rFonts w:ascii="Times New Roman" w:eastAsia="Times New Roman" w:hAnsi="Times New Roman" w:cs="Times New Roman"/>
          <w:noProof/>
          <w:color w:val="000000"/>
          <w:kern w:val="0"/>
          <w:lang w:val="es-PY"/>
          <w14:ligatures w14:val="none"/>
        </w:rPr>
        <w:br w:type="page"/>
      </w:r>
    </w:p>
    <w:p w14:paraId="54F855D7" w14:textId="77777777" w:rsidR="00F6543D" w:rsidRPr="007B4C00" w:rsidRDefault="00F6543D" w:rsidP="0002304B">
      <w:pPr>
        <w:widowControl w:val="0"/>
        <w:autoSpaceDE w:val="0"/>
        <w:autoSpaceDN w:val="0"/>
        <w:spacing w:after="0" w:line="480" w:lineRule="auto"/>
        <w:ind w:left="652" w:hanging="652"/>
        <w:outlineLvl w:val="0"/>
        <w:rPr>
          <w:rFonts w:ascii="Times New Roman" w:eastAsia="Arial" w:hAnsi="Times New Roman" w:cs="Times New Roman"/>
          <w:b/>
          <w:bCs/>
          <w:noProof/>
          <w:kern w:val="0"/>
          <w:szCs w:val="24"/>
          <w:lang w:val="es-PY"/>
          <w14:ligatures w14:val="none"/>
        </w:rPr>
      </w:pPr>
      <w:r w:rsidRPr="007B4C00">
        <w:rPr>
          <w:rFonts w:ascii="Times New Roman" w:eastAsia="Arial" w:hAnsi="Times New Roman" w:cs="Times New Roman"/>
          <w:b/>
          <w:bCs/>
          <w:noProof/>
          <w:kern w:val="0"/>
          <w:szCs w:val="24"/>
          <w:lang w:val="es-PY"/>
          <w14:ligatures w14:val="none"/>
        </w:rPr>
        <w:lastRenderedPageBreak/>
        <w:t>INTRODUCCIÓN</w:t>
      </w:r>
    </w:p>
    <w:p w14:paraId="33C15859" w14:textId="68F1DB6F" w:rsidR="00D64B6F" w:rsidRPr="007B4C00" w:rsidRDefault="003E2B78" w:rsidP="0002304B">
      <w:pPr>
        <w:pBdr>
          <w:top w:val="nil"/>
          <w:left w:val="nil"/>
          <w:bottom w:val="nil"/>
          <w:right w:val="nil"/>
          <w:between w:val="nil"/>
        </w:pBdr>
        <w:spacing w:after="0" w:line="480" w:lineRule="auto"/>
        <w:jc w:val="both"/>
        <w:rPr>
          <w:rFonts w:ascii="Times New Roman" w:eastAsia="Arial" w:hAnsi="Times New Roman" w:cs="Times New Roman"/>
        </w:rPr>
      </w:pPr>
      <w:r w:rsidRPr="007B4C00">
        <w:rPr>
          <w:rFonts w:ascii="Times New Roman" w:eastAsia="Arial" w:hAnsi="Times New Roman" w:cs="Times New Roman"/>
          <w:highlight w:val="white"/>
        </w:rPr>
        <w:t>La enfermedad renal crónica (ERC) ha sido descrita como la enfermedad crónica más desatendida; Sin embargo, es un importante problema de salud pública en México y en todo el mundo. La ERC representa un alto impacto en la salud dentro del grupo de las enfermedades crónicas no transmisibles (ENTC) y su posición en la incidencia de carga global de la enfermedad, ha cambiado significativamente en México en los últimos años. (</w:t>
      </w:r>
      <w:r w:rsidR="00097B23" w:rsidRPr="007B4C00">
        <w:rPr>
          <w:rFonts w:ascii="Times New Roman" w:eastAsia="Arial" w:hAnsi="Times New Roman" w:cs="Times New Roman"/>
          <w:highlight w:val="white"/>
        </w:rPr>
        <w:t>Torres M, 2017)</w:t>
      </w:r>
      <w:r w:rsidRPr="007B4C00">
        <w:rPr>
          <w:rFonts w:ascii="Times New Roman" w:eastAsia="Arial" w:hAnsi="Times New Roman" w:cs="Times New Roman"/>
          <w:highlight w:val="white"/>
        </w:rPr>
        <w:t>). Las infecciones peritoneales siguen siendo una de las complicaciones más importante de la EP, ya que su prevalencia sigue siendo alta y sus importantes consecuencias clínicas incluyen mortalidad, fallas técnicas y mayores costos de los sistemas de s</w:t>
      </w:r>
      <w:r w:rsidR="00097B23" w:rsidRPr="007B4C00">
        <w:rPr>
          <w:rFonts w:ascii="Times New Roman" w:eastAsia="Arial" w:hAnsi="Times New Roman" w:cs="Times New Roman"/>
          <w:highlight w:val="white"/>
        </w:rPr>
        <w:t xml:space="preserve">alud </w:t>
      </w:r>
      <w:r w:rsidR="00914E89" w:rsidRPr="007B4C00">
        <w:rPr>
          <w:rFonts w:ascii="Times New Roman" w:eastAsia="Arial" w:hAnsi="Times New Roman" w:cs="Times New Roman"/>
        </w:rPr>
        <w:t>(</w:t>
      </w:r>
      <w:r w:rsidR="00914E89" w:rsidRPr="007B4C00">
        <w:rPr>
          <w:rFonts w:ascii="Times New Roman" w:hAnsi="Times New Roman" w:cs="Times New Roman"/>
        </w:rPr>
        <w:t xml:space="preserve">Pérez, M., </w:t>
      </w:r>
      <w:proofErr w:type="spellStart"/>
      <w:r w:rsidR="00914E89" w:rsidRPr="007B4C00">
        <w:rPr>
          <w:rFonts w:ascii="Times New Roman" w:hAnsi="Times New Roman" w:cs="Times New Roman"/>
        </w:rPr>
        <w:t>Moreiras</w:t>
      </w:r>
      <w:proofErr w:type="spellEnd"/>
      <w:r w:rsidR="00914E89" w:rsidRPr="007B4C00">
        <w:rPr>
          <w:rFonts w:ascii="Times New Roman" w:hAnsi="Times New Roman" w:cs="Times New Roman"/>
        </w:rPr>
        <w:t>, M., Prieto, M., et al. 2022</w:t>
      </w:r>
      <w:r w:rsidR="00914E89" w:rsidRPr="007B4C00">
        <w:rPr>
          <w:rFonts w:ascii="Times New Roman" w:eastAsia="Arial" w:hAnsi="Times New Roman" w:cs="Times New Roman"/>
        </w:rPr>
        <w:t>)</w:t>
      </w:r>
      <w:r w:rsidRPr="007B4C00">
        <w:rPr>
          <w:rFonts w:ascii="Times New Roman" w:eastAsia="Arial" w:hAnsi="Times New Roman" w:cs="Times New Roman"/>
          <w:highlight w:val="white"/>
        </w:rPr>
        <w:t xml:space="preserve">. Dado que la enfermedad es de etiología multifactorial y está fuertemente relacionada con las enfermedades crónicas más comunes en nuestra población (diabetes e hipertensión), su impacto en la salud pública se refleja en la alta demanda de recursos humanos, económicos y de infraestructura necesarios para tratarla. También es la segunda causa de años de vida perdidos en el continente americano con mayor </w:t>
      </w:r>
      <w:r w:rsidR="00097B23" w:rsidRPr="007B4C00">
        <w:rPr>
          <w:rFonts w:ascii="Times New Roman" w:eastAsia="Arial" w:hAnsi="Times New Roman" w:cs="Times New Roman"/>
          <w:highlight w:val="white"/>
        </w:rPr>
        <w:t>prevalencia en América Latina (CENIDSP,2022</w:t>
      </w:r>
      <w:r w:rsidRPr="007B4C00">
        <w:rPr>
          <w:rFonts w:ascii="Times New Roman" w:eastAsia="Arial" w:hAnsi="Times New Roman" w:cs="Times New Roman"/>
          <w:highlight w:val="white"/>
        </w:rPr>
        <w:t>)</w:t>
      </w:r>
      <w:r w:rsidR="001E2659" w:rsidRPr="007B4C00">
        <w:rPr>
          <w:rFonts w:ascii="Times New Roman" w:eastAsia="Arial" w:hAnsi="Times New Roman" w:cs="Times New Roman"/>
        </w:rPr>
        <w:t xml:space="preserve"> El riesgo de peritonitis es uno de los principales obstáculos para el uso de la DP. La frecuencia de peritonitis varía desde 1 episodio cada 24,8 meses hasta 1 episodio cada 46,4 meses. Se han descrito factores de riesgo asociados con un mayor desarrollo de peritonitis, como diabetes mellitus, edad avanzada, sexo femenino, tabaquismo e índice de masa corporal elevado antes del inicio de la EP. La causa de la mayoría de las peritonitis es la "contaminación por contacto" a través de la entrada del catéter de DP; que actúa como entrada de microorganismos que colonizan la piel directamente a la membrana peritoneal</w:t>
      </w:r>
      <w:r w:rsidR="001E2659" w:rsidRPr="007B4C00">
        <w:rPr>
          <w:rFonts w:ascii="Times New Roman" w:eastAsia="Arial" w:hAnsi="Times New Roman" w:cs="Times New Roman"/>
          <w:highlight w:val="white"/>
        </w:rPr>
        <w:t>.</w:t>
      </w:r>
      <w:r w:rsidR="001E2659" w:rsidRPr="007B4C00">
        <w:rPr>
          <w:rFonts w:ascii="Times New Roman" w:eastAsia="Arial" w:hAnsi="Times New Roman" w:cs="Times New Roman"/>
        </w:rPr>
        <w:t xml:space="preserve"> Entre los microorganismos Gram positivos, los factores causales más comunes en el 60%-80% de los casos son </w:t>
      </w:r>
      <w:proofErr w:type="spellStart"/>
      <w:r w:rsidR="001E2659" w:rsidRPr="007B4C00">
        <w:rPr>
          <w:rFonts w:ascii="Times New Roman" w:eastAsia="Arial" w:hAnsi="Times New Roman" w:cs="Times New Roman"/>
        </w:rPr>
        <w:t>Staphylococcus</w:t>
      </w:r>
      <w:proofErr w:type="spellEnd"/>
      <w:r w:rsidR="001E2659" w:rsidRPr="007B4C00">
        <w:rPr>
          <w:rFonts w:ascii="Times New Roman" w:eastAsia="Arial" w:hAnsi="Times New Roman" w:cs="Times New Roman"/>
        </w:rPr>
        <w:t xml:space="preserve"> </w:t>
      </w:r>
      <w:proofErr w:type="spellStart"/>
      <w:r w:rsidR="001E2659" w:rsidRPr="007B4C00">
        <w:rPr>
          <w:rFonts w:ascii="Times New Roman" w:eastAsia="Arial" w:hAnsi="Times New Roman" w:cs="Times New Roman"/>
        </w:rPr>
        <w:t>epidermidis</w:t>
      </w:r>
      <w:proofErr w:type="spellEnd"/>
      <w:r w:rsidR="001E2659" w:rsidRPr="007B4C00">
        <w:rPr>
          <w:rFonts w:ascii="Times New Roman" w:eastAsia="Arial" w:hAnsi="Times New Roman" w:cs="Times New Roman"/>
        </w:rPr>
        <w:t xml:space="preserve">, </w:t>
      </w:r>
      <w:proofErr w:type="spellStart"/>
      <w:r w:rsidR="001E2659" w:rsidRPr="007B4C00">
        <w:rPr>
          <w:rFonts w:ascii="Times New Roman" w:eastAsia="Arial" w:hAnsi="Times New Roman" w:cs="Times New Roman"/>
        </w:rPr>
        <w:t>Staphylococcus</w:t>
      </w:r>
      <w:proofErr w:type="spellEnd"/>
      <w:r w:rsidR="001E2659" w:rsidRPr="007B4C00">
        <w:rPr>
          <w:rFonts w:ascii="Times New Roman" w:eastAsia="Arial" w:hAnsi="Times New Roman" w:cs="Times New Roman"/>
        </w:rPr>
        <w:t xml:space="preserve"> </w:t>
      </w:r>
      <w:proofErr w:type="spellStart"/>
      <w:r w:rsidR="001E2659" w:rsidRPr="007B4C00">
        <w:rPr>
          <w:rFonts w:ascii="Times New Roman" w:eastAsia="Arial" w:hAnsi="Times New Roman" w:cs="Times New Roman"/>
        </w:rPr>
        <w:t>aerus</w:t>
      </w:r>
      <w:proofErr w:type="spellEnd"/>
      <w:r w:rsidR="001E2659" w:rsidRPr="007B4C00">
        <w:rPr>
          <w:rFonts w:ascii="Times New Roman" w:eastAsia="Arial" w:hAnsi="Times New Roman" w:cs="Times New Roman"/>
        </w:rPr>
        <w:t xml:space="preserve"> y </w:t>
      </w:r>
      <w:proofErr w:type="spellStart"/>
      <w:r w:rsidR="001E2659" w:rsidRPr="007B4C00">
        <w:rPr>
          <w:rFonts w:ascii="Times New Roman" w:eastAsia="Arial" w:hAnsi="Times New Roman" w:cs="Times New Roman"/>
        </w:rPr>
        <w:t>Streptococcus</w:t>
      </w:r>
      <w:proofErr w:type="spellEnd"/>
      <w:r w:rsidR="001E2659" w:rsidRPr="007B4C00">
        <w:rPr>
          <w:rFonts w:ascii="Times New Roman" w:eastAsia="Arial" w:hAnsi="Times New Roman" w:cs="Times New Roman"/>
        </w:rPr>
        <w:t xml:space="preserve">. </w:t>
      </w:r>
      <w:proofErr w:type="gramStart"/>
      <w:r w:rsidR="001E2659" w:rsidRPr="007B4C00">
        <w:rPr>
          <w:rFonts w:ascii="Times New Roman" w:eastAsia="Arial" w:hAnsi="Times New Roman" w:cs="Times New Roman"/>
        </w:rPr>
        <w:t>.</w:t>
      </w:r>
      <w:proofErr w:type="spellStart"/>
      <w:r w:rsidR="001E2659" w:rsidRPr="007B4C00">
        <w:rPr>
          <w:rFonts w:ascii="Times New Roman" w:eastAsia="Arial" w:hAnsi="Times New Roman" w:cs="Times New Roman"/>
        </w:rPr>
        <w:t>Spp</w:t>
      </w:r>
      <w:proofErr w:type="spellEnd"/>
      <w:proofErr w:type="gramEnd"/>
      <w:r w:rsidR="001E2659" w:rsidRPr="007B4C00">
        <w:rPr>
          <w:rFonts w:ascii="Times New Roman" w:eastAsia="Arial" w:hAnsi="Times New Roman" w:cs="Times New Roman"/>
        </w:rPr>
        <w:t xml:space="preserve">. . También se describen especies gramnegativos, menos </w:t>
      </w:r>
      <w:proofErr w:type="gramStart"/>
      <w:r w:rsidR="001E2659" w:rsidRPr="007B4C00">
        <w:rPr>
          <w:rFonts w:ascii="Times New Roman" w:eastAsia="Arial" w:hAnsi="Times New Roman" w:cs="Times New Roman"/>
        </w:rPr>
        <w:t>comunes</w:t>
      </w:r>
      <w:proofErr w:type="gramEnd"/>
      <w:r w:rsidR="001E2659" w:rsidRPr="007B4C00">
        <w:rPr>
          <w:rFonts w:ascii="Times New Roman" w:eastAsia="Arial" w:hAnsi="Times New Roman" w:cs="Times New Roman"/>
        </w:rPr>
        <w:t xml:space="preserve"> pero aún presentes, como Pseudomonas </w:t>
      </w:r>
      <w:proofErr w:type="spellStart"/>
      <w:r w:rsidR="001E2659" w:rsidRPr="007B4C00">
        <w:rPr>
          <w:rFonts w:ascii="Times New Roman" w:eastAsia="Arial" w:hAnsi="Times New Roman" w:cs="Times New Roman"/>
        </w:rPr>
        <w:t>aeuruginosa</w:t>
      </w:r>
      <w:proofErr w:type="spellEnd"/>
      <w:r w:rsidR="001E2659" w:rsidRPr="007B4C00">
        <w:rPr>
          <w:rFonts w:ascii="Times New Roman" w:eastAsia="Arial" w:hAnsi="Times New Roman" w:cs="Times New Roman"/>
        </w:rPr>
        <w:t xml:space="preserve">, </w:t>
      </w:r>
      <w:proofErr w:type="spellStart"/>
      <w:r w:rsidR="001E2659" w:rsidRPr="007B4C00">
        <w:rPr>
          <w:rFonts w:ascii="Times New Roman" w:eastAsia="Arial" w:hAnsi="Times New Roman" w:cs="Times New Roman"/>
        </w:rPr>
        <w:t>Escherichia</w:t>
      </w:r>
      <w:proofErr w:type="spellEnd"/>
      <w:r w:rsidR="001E2659" w:rsidRPr="007B4C00">
        <w:rPr>
          <w:rFonts w:ascii="Times New Roman" w:eastAsia="Arial" w:hAnsi="Times New Roman" w:cs="Times New Roman"/>
        </w:rPr>
        <w:t xml:space="preserve"> </w:t>
      </w:r>
      <w:proofErr w:type="spellStart"/>
      <w:r w:rsidR="001E2659" w:rsidRPr="007B4C00">
        <w:rPr>
          <w:rFonts w:ascii="Times New Roman" w:eastAsia="Arial" w:hAnsi="Times New Roman" w:cs="Times New Roman"/>
        </w:rPr>
        <w:t>coli</w:t>
      </w:r>
      <w:proofErr w:type="spellEnd"/>
      <w:r w:rsidR="001E2659" w:rsidRPr="007B4C00">
        <w:rPr>
          <w:rFonts w:ascii="Times New Roman" w:eastAsia="Arial" w:hAnsi="Times New Roman" w:cs="Times New Roman"/>
        </w:rPr>
        <w:t xml:space="preserve"> y </w:t>
      </w:r>
      <w:proofErr w:type="spellStart"/>
      <w:r w:rsidR="001E2659" w:rsidRPr="007B4C00">
        <w:rPr>
          <w:rFonts w:ascii="Times New Roman" w:eastAsia="Arial" w:hAnsi="Times New Roman" w:cs="Times New Roman"/>
        </w:rPr>
        <w:t>Klebsiella</w:t>
      </w:r>
      <w:proofErr w:type="spellEnd"/>
      <w:r w:rsidR="001E2659" w:rsidRPr="007B4C00">
        <w:rPr>
          <w:rFonts w:ascii="Times New Roman" w:eastAsia="Arial" w:hAnsi="Times New Roman" w:cs="Times New Roman"/>
        </w:rPr>
        <w:t xml:space="preserve"> </w:t>
      </w:r>
      <w:proofErr w:type="spellStart"/>
      <w:r w:rsidR="001E2659" w:rsidRPr="007B4C00">
        <w:rPr>
          <w:rFonts w:ascii="Times New Roman" w:eastAsia="Arial" w:hAnsi="Times New Roman" w:cs="Times New Roman"/>
        </w:rPr>
        <w:t>pneumoniae</w:t>
      </w:r>
      <w:proofErr w:type="spellEnd"/>
      <w:r w:rsidR="001E2659" w:rsidRPr="007B4C00">
        <w:rPr>
          <w:rFonts w:ascii="Times New Roman" w:eastAsia="Arial" w:hAnsi="Times New Roman" w:cs="Times New Roman"/>
        </w:rPr>
        <w:t>; Aunque es poco común, la peritonitis fúngica no es un patógeno, especialmente en pacientes que reci</w:t>
      </w:r>
      <w:r w:rsidR="00097B23" w:rsidRPr="007B4C00">
        <w:rPr>
          <w:rFonts w:ascii="Times New Roman" w:eastAsia="Arial" w:hAnsi="Times New Roman" w:cs="Times New Roman"/>
        </w:rPr>
        <w:t>ben múltiples antimicrobianos (</w:t>
      </w:r>
      <w:proofErr w:type="spellStart"/>
      <w:r w:rsidR="00097B23" w:rsidRPr="007B4C00">
        <w:rPr>
          <w:rFonts w:ascii="Times New Roman" w:eastAsia="Arial" w:hAnsi="Times New Roman" w:cs="Times New Roman"/>
        </w:rPr>
        <w:t>Portoles</w:t>
      </w:r>
      <w:proofErr w:type="spellEnd"/>
      <w:r w:rsidR="00097B23" w:rsidRPr="007B4C00">
        <w:rPr>
          <w:rFonts w:ascii="Times New Roman" w:eastAsia="Arial" w:hAnsi="Times New Roman" w:cs="Times New Roman"/>
        </w:rPr>
        <w:t xml:space="preserve"> J, 2019</w:t>
      </w:r>
      <w:r w:rsidR="001E2659" w:rsidRPr="007B4C00">
        <w:rPr>
          <w:rFonts w:ascii="Times New Roman" w:eastAsia="Arial" w:hAnsi="Times New Roman" w:cs="Times New Roman"/>
        </w:rPr>
        <w:t xml:space="preserve">). </w:t>
      </w:r>
      <w:r w:rsidR="009C6C71" w:rsidRPr="007B4C00">
        <w:rPr>
          <w:rFonts w:ascii="Times New Roman" w:eastAsia="Arial" w:hAnsi="Times New Roman" w:cs="Times New Roman"/>
        </w:rPr>
        <w:t xml:space="preserve"> Se clasifican en primarias </w:t>
      </w:r>
    </w:p>
    <w:p w14:paraId="09EE2A36" w14:textId="284D5CF0" w:rsidR="009C6C71" w:rsidRPr="007B4C00" w:rsidRDefault="009C6C71" w:rsidP="0002304B">
      <w:pPr>
        <w:pBdr>
          <w:top w:val="nil"/>
          <w:left w:val="nil"/>
          <w:bottom w:val="nil"/>
          <w:right w:val="nil"/>
          <w:between w:val="nil"/>
        </w:pBdr>
        <w:spacing w:after="0" w:line="480" w:lineRule="auto"/>
        <w:jc w:val="both"/>
        <w:rPr>
          <w:rFonts w:ascii="Times New Roman" w:eastAsia="Arial" w:hAnsi="Times New Roman" w:cs="Times New Roman"/>
        </w:rPr>
      </w:pPr>
      <w:r w:rsidRPr="007B4C00">
        <w:rPr>
          <w:rFonts w:ascii="Times New Roman" w:eastAsia="Arial" w:hAnsi="Times New Roman" w:cs="Times New Roman"/>
        </w:rPr>
        <w:t xml:space="preserve">(peritonitis </w:t>
      </w:r>
      <w:proofErr w:type="spellStart"/>
      <w:r w:rsidRPr="007B4C00">
        <w:rPr>
          <w:rFonts w:ascii="Times New Roman" w:eastAsia="Arial" w:hAnsi="Times New Roman" w:cs="Times New Roman"/>
        </w:rPr>
        <w:t>monomicrobianas</w:t>
      </w:r>
      <w:proofErr w:type="spellEnd"/>
      <w:r w:rsidRPr="007B4C00">
        <w:rPr>
          <w:rFonts w:ascii="Times New Roman" w:eastAsia="Arial" w:hAnsi="Times New Roman" w:cs="Times New Roman"/>
        </w:rPr>
        <w:t xml:space="preserve"> sin foco infeccioso visible y secundarias (peritonitis poli microbiana de origen intraabdominal) y terciarias (peritonitis recurrente), las cuales son complicaciones de la DCPA y se describen varios mecanismos causantes de la peritonitis; contaminación del catéter, infección, </w:t>
      </w:r>
      <w:r w:rsidRPr="007B4C00">
        <w:rPr>
          <w:rFonts w:ascii="Times New Roman" w:eastAsia="Arial" w:hAnsi="Times New Roman" w:cs="Times New Roman"/>
        </w:rPr>
        <w:lastRenderedPageBreak/>
        <w:t>daño. Hasta la salida del catéter o túnel cutáneo, la transferencia bacteriana se describe desde el tracto digestivo por vía hematógena (San Juan-</w:t>
      </w:r>
      <w:proofErr w:type="spellStart"/>
      <w:r w:rsidRPr="007B4C00">
        <w:rPr>
          <w:rFonts w:ascii="Times New Roman" w:eastAsia="Arial" w:hAnsi="Times New Roman" w:cs="Times New Roman"/>
        </w:rPr>
        <w:t>Perez</w:t>
      </w:r>
      <w:proofErr w:type="spellEnd"/>
      <w:r w:rsidRPr="007B4C00">
        <w:rPr>
          <w:rFonts w:ascii="Times New Roman" w:eastAsia="Arial" w:hAnsi="Times New Roman" w:cs="Times New Roman"/>
        </w:rPr>
        <w:t>-</w:t>
      </w:r>
      <w:proofErr w:type="spellStart"/>
      <w:r w:rsidRPr="007B4C00">
        <w:rPr>
          <w:rFonts w:ascii="Times New Roman" w:eastAsia="Arial" w:hAnsi="Times New Roman" w:cs="Times New Roman"/>
        </w:rPr>
        <w:t>Barrtientos</w:t>
      </w:r>
      <w:proofErr w:type="spellEnd"/>
      <w:r w:rsidRPr="007B4C00">
        <w:rPr>
          <w:rFonts w:ascii="Times New Roman" w:eastAsia="Arial" w:hAnsi="Times New Roman" w:cs="Times New Roman"/>
        </w:rPr>
        <w:t>, 2018)</w:t>
      </w:r>
    </w:p>
    <w:p w14:paraId="1A3EA1B0" w14:textId="1CDD2D28" w:rsidR="00F92C49" w:rsidRPr="007B4C00" w:rsidRDefault="001E2659" w:rsidP="0002304B">
      <w:pPr>
        <w:pBdr>
          <w:top w:val="nil"/>
          <w:left w:val="nil"/>
          <w:bottom w:val="nil"/>
          <w:right w:val="nil"/>
          <w:between w:val="nil"/>
        </w:pBdr>
        <w:spacing w:after="0" w:line="480" w:lineRule="auto"/>
        <w:jc w:val="both"/>
        <w:rPr>
          <w:rFonts w:ascii="Times New Roman" w:eastAsia="Arial" w:hAnsi="Times New Roman" w:cs="Times New Roman"/>
        </w:rPr>
      </w:pPr>
      <w:r w:rsidRPr="007B4C00">
        <w:rPr>
          <w:rFonts w:ascii="Times New Roman" w:eastAsia="Arial" w:hAnsi="Times New Roman" w:cs="Times New Roman"/>
        </w:rPr>
        <w:t>El propósito de este estudio es mostrar la incidencia actual de estas complicaciones relacionadas con la ERC, como la peritonitis asociada a esta entidad, y determinar si existe algún factor importante en el desarrollo de esta patología. Aunque la incidencia de infecciones relacionadas con la diálisis peritoneal ha disminuido en las últimas décadas, la peritonitis inducida por la diálisis peritoneal es una complicación importante de este tipo de terapia de reemplazo renal. La importancia de conocer esta patología implica un mejor pronóstico para el paciente con ERT y mejora la supervivencia y persistencia de la diálisis peritoneal com</w:t>
      </w:r>
      <w:r w:rsidR="00097B23" w:rsidRPr="007B4C00">
        <w:rPr>
          <w:rFonts w:ascii="Times New Roman" w:eastAsia="Arial" w:hAnsi="Times New Roman" w:cs="Times New Roman"/>
        </w:rPr>
        <w:t>o terapia de reemplazo renal. (Lynch MF, 2019</w:t>
      </w:r>
      <w:r w:rsidRPr="007B4C00">
        <w:rPr>
          <w:rFonts w:ascii="Times New Roman" w:eastAsia="Arial" w:hAnsi="Times New Roman" w:cs="Times New Roman"/>
        </w:rPr>
        <w:t xml:space="preserve">). </w:t>
      </w:r>
      <w:r w:rsidR="00F92C49" w:rsidRPr="007B4C00">
        <w:rPr>
          <w:rFonts w:ascii="Times New Roman" w:eastAsia="Arial" w:hAnsi="Times New Roman" w:cs="Times New Roman"/>
        </w:rPr>
        <w:t>La causa de la mayoría de las peritonitis es la "contaminación por contacto" a través de la entrada del catéter de DP; que actúa como entrada de microorganismos que colonizan la piel directamente a la membrana peritoneal.</w:t>
      </w:r>
      <w:r w:rsidR="009C6C71" w:rsidRPr="007B4C00">
        <w:rPr>
          <w:rFonts w:ascii="Times New Roman" w:eastAsia="Arial" w:hAnsi="Times New Roman" w:cs="Times New Roman"/>
        </w:rPr>
        <w:t xml:space="preserve"> (</w:t>
      </w:r>
      <w:r w:rsidR="00F92C49" w:rsidRPr="007B4C00">
        <w:rPr>
          <w:rFonts w:ascii="Times New Roman" w:eastAsia="Arial" w:hAnsi="Times New Roman" w:cs="Times New Roman"/>
        </w:rPr>
        <w:t>Afrashtehfar-Mastache,2014)</w:t>
      </w:r>
    </w:p>
    <w:p w14:paraId="38BE4365" w14:textId="1D8A3A37" w:rsidR="00482365" w:rsidRPr="007B4C00" w:rsidRDefault="001E2659" w:rsidP="0002304B">
      <w:pPr>
        <w:pBdr>
          <w:top w:val="nil"/>
          <w:left w:val="nil"/>
          <w:bottom w:val="nil"/>
          <w:right w:val="nil"/>
          <w:between w:val="nil"/>
        </w:pBdr>
        <w:spacing w:after="0" w:line="480" w:lineRule="auto"/>
        <w:jc w:val="both"/>
        <w:rPr>
          <w:rFonts w:ascii="Times New Roman" w:eastAsia="Arial" w:hAnsi="Times New Roman" w:cs="Times New Roman"/>
        </w:rPr>
      </w:pPr>
      <w:r w:rsidRPr="007B4C00">
        <w:rPr>
          <w:rFonts w:ascii="Times New Roman" w:eastAsia="Arial" w:hAnsi="Times New Roman" w:cs="Times New Roman"/>
        </w:rPr>
        <w:t>Así, además de reducir la frecuencia de pacientes que reciben terapia sustitutiva renal, también se mejora el aspecto social, el impacto de la enfermedad renal, y la diálisis peritoneal tiene una mejor calidad de vida (61%) en comparación con la hemodiálisis (55%). existen estudios que demuestran que los pacientes en diálisis peritoneal tienen una mejor calidad de vida en esta región debido a mejores opciones de viaje, menores costos económicos y mayor acceso a la terapia de diálisis, se realizó una comparación en México con resultados q</w:t>
      </w:r>
      <w:r w:rsidR="00097B23" w:rsidRPr="007B4C00">
        <w:rPr>
          <w:rFonts w:ascii="Times New Roman" w:eastAsia="Arial" w:hAnsi="Times New Roman" w:cs="Times New Roman"/>
        </w:rPr>
        <w:t>ue respaldan esta suposición (López LR, 2017</w:t>
      </w:r>
      <w:r w:rsidRPr="007B4C00">
        <w:rPr>
          <w:rFonts w:ascii="Times New Roman" w:eastAsia="Arial" w:hAnsi="Times New Roman" w:cs="Times New Roman"/>
        </w:rPr>
        <w:t>) Problema psicológico en las puntuaciones de calidad de vida al cambiar de categoría en diferentes situaciones pero empeoró, aunque con menor frecuencia el objetivo preventivo es el cambio de categoría por infecciones frecuentes. No se ha realizado ninguna investigación en México, que informaría simultáneamente sobre la frecuencia, causas,</w:t>
      </w:r>
      <w:r w:rsidR="00646B84">
        <w:rPr>
          <w:rFonts w:ascii="Times New Roman" w:eastAsia="Arial" w:hAnsi="Times New Roman" w:cs="Times New Roman"/>
        </w:rPr>
        <w:t xml:space="preserve"> </w:t>
      </w:r>
      <w:r w:rsidRPr="007B4C00">
        <w:rPr>
          <w:rFonts w:ascii="Times New Roman" w:eastAsia="Arial" w:hAnsi="Times New Roman" w:cs="Times New Roman"/>
        </w:rPr>
        <w:t>susceptibilidad y resistencia a los antibióticos de las infecciones peritoneales en pacientes en diálisis peritoneal y si los resultados corresponden a los de informes internacionales.</w:t>
      </w:r>
      <w:r w:rsidRPr="007B4C00">
        <w:rPr>
          <w:rFonts w:ascii="Times New Roman" w:eastAsia="Arial" w:hAnsi="Times New Roman" w:cs="Times New Roman"/>
          <w:color w:val="131413"/>
        </w:rPr>
        <w:t xml:space="preserve"> La realización de esta investigación, busca sentar base sin precedente en el Hospital General de Zona #23 con respecto a la incidencia de peritonitis asociado a diálisis peritoneal ya que a la actualidad no se cuenta con estudios afines en la región. Cabe mencionar que a nivel nacional existe poca información acerca de este tema, siendo uno de las patologías con mayor abordaje dentro del Instituto Mexicano del seguro social y la que con lleva con recurso económico, </w:t>
      </w:r>
      <w:r w:rsidRPr="007B4C00">
        <w:rPr>
          <w:rFonts w:ascii="Times New Roman" w:eastAsia="Arial" w:hAnsi="Times New Roman" w:cs="Times New Roman"/>
          <w:color w:val="131413"/>
        </w:rPr>
        <w:lastRenderedPageBreak/>
        <w:t xml:space="preserve">humano e institucional de gran valor.  </w:t>
      </w:r>
      <w:r w:rsidR="009C6C71" w:rsidRPr="007B4C00">
        <w:rPr>
          <w:rFonts w:ascii="Times New Roman" w:eastAsia="Arial" w:hAnsi="Times New Roman" w:cs="Times New Roman"/>
        </w:rPr>
        <w:t>Sin embargo, en los últimos años ha habido un aumento significativo en la proporción de pacientes en diálisis peritoneal automatizada (DPA), (</w:t>
      </w:r>
      <w:proofErr w:type="spellStart"/>
      <w:r w:rsidR="009C6C71" w:rsidRPr="007B4C00">
        <w:rPr>
          <w:rFonts w:ascii="Times New Roman" w:eastAsia="Arial" w:hAnsi="Times New Roman" w:cs="Times New Roman"/>
        </w:rPr>
        <w:t>Remon-</w:t>
      </w:r>
      <w:proofErr w:type="gramStart"/>
      <w:r w:rsidR="009C6C71" w:rsidRPr="007B4C00">
        <w:rPr>
          <w:rFonts w:ascii="Times New Roman" w:eastAsia="Arial" w:hAnsi="Times New Roman" w:cs="Times New Roman"/>
        </w:rPr>
        <w:t>Quirós,Gil</w:t>
      </w:r>
      <w:proofErr w:type="spellEnd"/>
      <w:proofErr w:type="gramEnd"/>
      <w:r w:rsidR="009C6C71" w:rsidRPr="007B4C00">
        <w:rPr>
          <w:rFonts w:ascii="Times New Roman" w:eastAsia="Arial" w:hAnsi="Times New Roman" w:cs="Times New Roman"/>
        </w:rPr>
        <w:t>, 2010) que se asocia con la incidencia de peritonitis y, como se mencionó anteriormente, no existe una base de datos de incidencia en México. El estado nutricional, la anemia, el nivel socioeconómico y el tiempo de permanencia en el programa predicen su desarrollo.</w:t>
      </w:r>
      <w:r w:rsidR="00BE04B7">
        <w:rPr>
          <w:rFonts w:ascii="Times New Roman" w:eastAsia="Arial" w:hAnsi="Times New Roman" w:cs="Times New Roman"/>
        </w:rPr>
        <w:t xml:space="preserve"> </w:t>
      </w:r>
      <w:r w:rsidR="009C6C71" w:rsidRPr="007B4C00">
        <w:rPr>
          <w:rFonts w:ascii="Times New Roman" w:eastAsia="Arial" w:hAnsi="Times New Roman" w:cs="Times New Roman"/>
        </w:rPr>
        <w:t xml:space="preserve">(Barbero-Tejeda-Junyent, </w:t>
      </w:r>
      <w:proofErr w:type="gramStart"/>
      <w:r w:rsidR="009C6C71" w:rsidRPr="007B4C00">
        <w:rPr>
          <w:rFonts w:ascii="Times New Roman" w:eastAsia="Arial" w:hAnsi="Times New Roman" w:cs="Times New Roman"/>
        </w:rPr>
        <w:t>2014 )</w:t>
      </w:r>
      <w:proofErr w:type="gramEnd"/>
      <w:r w:rsidR="009C6C71" w:rsidRPr="007B4C00">
        <w:rPr>
          <w:rFonts w:ascii="Times New Roman" w:eastAsia="Arial" w:hAnsi="Times New Roman" w:cs="Times New Roman"/>
        </w:rPr>
        <w:t>. Por lo que este estudio s</w:t>
      </w:r>
      <w:r w:rsidRPr="007B4C00">
        <w:rPr>
          <w:rFonts w:ascii="Times New Roman" w:eastAsia="Arial" w:hAnsi="Times New Roman" w:cs="Times New Roman"/>
          <w:color w:val="000000"/>
        </w:rPr>
        <w:t xml:space="preserve">e considera que dichos números sean de reporte continuo con el fin de hacer constar números fiables acerca dicha entidad y conocer con mayor exactitud la prevalencia e incidencia de la peritonitis asociado a diálisis peritoneal. La elaboración y finalización de este estudio podrá </w:t>
      </w:r>
      <w:proofErr w:type="spellStart"/>
      <w:r w:rsidRPr="007B4C00">
        <w:rPr>
          <w:rFonts w:ascii="Times New Roman" w:eastAsia="Arial" w:hAnsi="Times New Roman" w:cs="Times New Roman"/>
          <w:color w:val="000000"/>
        </w:rPr>
        <w:t>comparse</w:t>
      </w:r>
      <w:proofErr w:type="spellEnd"/>
      <w:r w:rsidRPr="007B4C00">
        <w:rPr>
          <w:rFonts w:ascii="Times New Roman" w:eastAsia="Arial" w:hAnsi="Times New Roman" w:cs="Times New Roman"/>
          <w:color w:val="000000"/>
        </w:rPr>
        <w:t xml:space="preserve"> con incidencia reportada por estudios similares a nivel nacional, teniendo una tasa de incidencia de 58 casos por cada 100 pacientes y hacer constar para el Instituto Mexicano del Seguro Social en esta unidad hospital general de zona # 23 un parte aguas en la investigación de dicha entidad en esta región de atención.</w:t>
      </w:r>
    </w:p>
    <w:p w14:paraId="0EDA1626" w14:textId="2579C4FE" w:rsidR="00611497" w:rsidRPr="007B4C00" w:rsidRDefault="00F6543D" w:rsidP="0002304B">
      <w:pPr>
        <w:widowControl w:val="0"/>
        <w:autoSpaceDE w:val="0"/>
        <w:autoSpaceDN w:val="0"/>
        <w:spacing w:after="0" w:line="480" w:lineRule="auto"/>
        <w:ind w:left="652" w:hanging="652"/>
        <w:outlineLvl w:val="0"/>
        <w:rPr>
          <w:rFonts w:ascii="Times New Roman" w:eastAsia="Arial" w:hAnsi="Times New Roman" w:cs="Times New Roman"/>
          <w:b/>
          <w:bCs/>
          <w:noProof/>
          <w:kern w:val="0"/>
          <w:szCs w:val="24"/>
          <w:lang w:val="es-PY"/>
          <w14:ligatures w14:val="none"/>
        </w:rPr>
      </w:pPr>
      <w:r w:rsidRPr="007B4C00">
        <w:rPr>
          <w:rFonts w:ascii="Times New Roman" w:eastAsia="Arial" w:hAnsi="Times New Roman" w:cs="Times New Roman"/>
          <w:b/>
          <w:bCs/>
          <w:noProof/>
          <w:kern w:val="0"/>
          <w:szCs w:val="24"/>
          <w:lang w:val="es-PY"/>
          <w14:ligatures w14:val="none"/>
        </w:rPr>
        <w:t>METODOLOGÍA</w:t>
      </w:r>
    </w:p>
    <w:p w14:paraId="5A8692FD" w14:textId="5AE81A15" w:rsidR="0092560A" w:rsidRPr="007B4C00" w:rsidRDefault="00D43C1D" w:rsidP="0002304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7B4C00">
        <w:rPr>
          <w:rFonts w:ascii="Times New Roman" w:eastAsia="Arial" w:hAnsi="Times New Roman" w:cs="Times New Roman"/>
          <w:bCs/>
          <w:iCs/>
          <w:noProof/>
          <w:kern w:val="0"/>
          <w:lang w:val="es-MX"/>
          <w14:ligatures w14:val="none"/>
        </w:rPr>
        <w:t xml:space="preserve">Estudio observacional, descriptivo, prospectivo, longitudinal, unicentrico, realizado en el Hospital General de Zona nomero 23 de Teziutlan, Puebla. Se evaluaron pacientes atendidos en el periodo de  </w:t>
      </w:r>
      <w:r w:rsidR="0092560A" w:rsidRPr="007B4C00">
        <w:rPr>
          <w:rFonts w:ascii="Times New Roman" w:eastAsia="Arial" w:hAnsi="Times New Roman" w:cs="Times New Roman"/>
          <w:bCs/>
          <w:iCs/>
          <w:noProof/>
          <w:kern w:val="0"/>
          <w:lang w:val="es-MX"/>
          <w14:ligatures w14:val="none"/>
        </w:rPr>
        <w:t>enero a diciembre del año 2023 que cumplieron los siguientes criterios de inclusion: Pacientes de ambos sexos, atendidos en el servicio de urgencias en el periodo seleccionado,  c</w:t>
      </w:r>
      <w:r w:rsidR="0092560A" w:rsidRPr="007B4C00">
        <w:rPr>
          <w:rFonts w:ascii="Times New Roman" w:eastAsia="Arial" w:hAnsi="Times New Roman" w:cs="Times New Roman"/>
          <w:bCs/>
          <w:iCs/>
          <w:noProof/>
          <w:kern w:val="0"/>
          <w:lang w:val="es-PY"/>
          <w14:ligatures w14:val="none"/>
        </w:rPr>
        <w:t>on enfermedad renal crónica , en tratamiento sustitivo de la funcion renal con dialisis peritoneal, en modalidad continua ambulatoria o continua automatizada, con colocación de catéter de Tenckhoff  no mayor a 6 meses y 29 dias, con antecedente de peritonitis asociado a diálisis peritoneal con cuadro sintomatico de primera vez en un tiempo no mayor a 6 meses y 29 dias post colocación y con diagnostico confirmado de peritonitis con citoquimico de solución dializante intraperitoneal durante el periodo de investigacion. Se excluyeron pacientes con diagnosticos de lesion renal ag</w:t>
      </w:r>
      <w:r w:rsidR="001E1030" w:rsidRPr="007B4C00">
        <w:rPr>
          <w:rFonts w:ascii="Times New Roman" w:eastAsia="Arial" w:hAnsi="Times New Roman" w:cs="Times New Roman"/>
          <w:bCs/>
          <w:iCs/>
          <w:noProof/>
          <w:kern w:val="0"/>
          <w:lang w:val="es-PY"/>
          <w14:ligatures w14:val="none"/>
        </w:rPr>
        <w:t xml:space="preserve">uda y </w:t>
      </w:r>
      <w:r w:rsidR="0092560A" w:rsidRPr="007B4C00">
        <w:rPr>
          <w:rFonts w:ascii="Times New Roman" w:eastAsia="Arial" w:hAnsi="Times New Roman" w:cs="Times New Roman"/>
          <w:bCs/>
          <w:iCs/>
          <w:noProof/>
          <w:kern w:val="0"/>
          <w:lang w:val="es-PY"/>
          <w14:ligatures w14:val="none"/>
        </w:rPr>
        <w:t>pacientes en otra</w:t>
      </w:r>
      <w:r w:rsidR="001E1030" w:rsidRPr="007B4C00">
        <w:rPr>
          <w:rFonts w:ascii="Times New Roman" w:eastAsia="Arial" w:hAnsi="Times New Roman" w:cs="Times New Roman"/>
          <w:bCs/>
          <w:iCs/>
          <w:noProof/>
          <w:kern w:val="0"/>
          <w:lang w:val="es-PY"/>
          <w14:ligatures w14:val="none"/>
        </w:rPr>
        <w:t xml:space="preserve"> modalidad de sustitucion renal, procesos infecciosos de origen extraperitoneal. No fueron considerados para el estudio, aquellos pacientes  con expediente incompleto, pacientes con edad menor a 18 años y exepedientes medicos del area de urgencias que solicitaron su egreso voluntario del servicio. Las variables  evaluadas fueron; Edad,</w:t>
      </w:r>
      <w:r w:rsidR="00086AF2" w:rsidRPr="007B4C00">
        <w:rPr>
          <w:rFonts w:ascii="Times New Roman" w:eastAsia="Arial" w:hAnsi="Times New Roman" w:cs="Times New Roman"/>
          <w:bCs/>
          <w:iCs/>
          <w:noProof/>
          <w:kern w:val="0"/>
          <w:lang w:val="es-PY"/>
          <w14:ligatures w14:val="none"/>
        </w:rPr>
        <w:t xml:space="preserve"> </w:t>
      </w:r>
      <w:r w:rsidR="001E1030" w:rsidRPr="007B4C00">
        <w:rPr>
          <w:rFonts w:ascii="Times New Roman" w:eastAsia="Arial" w:hAnsi="Times New Roman" w:cs="Times New Roman"/>
          <w:bCs/>
          <w:iCs/>
          <w:noProof/>
          <w:kern w:val="0"/>
          <w:lang w:val="es-PY"/>
          <w14:ligatures w14:val="none"/>
        </w:rPr>
        <w:t>sexo,</w:t>
      </w:r>
      <w:r w:rsidR="00086AF2" w:rsidRPr="007B4C00">
        <w:rPr>
          <w:rFonts w:ascii="Times New Roman" w:eastAsia="Arial" w:hAnsi="Times New Roman" w:cs="Times New Roman"/>
          <w:bCs/>
          <w:iCs/>
          <w:noProof/>
          <w:kern w:val="0"/>
          <w:lang w:val="es-PY"/>
          <w14:ligatures w14:val="none"/>
        </w:rPr>
        <w:t xml:space="preserve"> </w:t>
      </w:r>
      <w:r w:rsidR="001E1030" w:rsidRPr="007B4C00">
        <w:rPr>
          <w:rFonts w:ascii="Times New Roman" w:eastAsia="Arial" w:hAnsi="Times New Roman" w:cs="Times New Roman"/>
          <w:bCs/>
          <w:iCs/>
          <w:noProof/>
          <w:kern w:val="0"/>
          <w:lang w:val="es-PY"/>
          <w14:ligatures w14:val="none"/>
        </w:rPr>
        <w:t xml:space="preserve">sintomatologia sugestiva de cuadro de peritonitis, </w:t>
      </w:r>
      <w:r w:rsidR="00086AF2" w:rsidRPr="007B4C00">
        <w:rPr>
          <w:rFonts w:ascii="Times New Roman" w:eastAsia="Arial" w:hAnsi="Times New Roman" w:cs="Times New Roman"/>
          <w:bCs/>
          <w:iCs/>
          <w:noProof/>
          <w:kern w:val="0"/>
          <w:lang w:val="es-PY"/>
          <w14:ligatures w14:val="none"/>
        </w:rPr>
        <w:t xml:space="preserve">modalidad de la sustitucion renal, citoquimico de solucion efluyente positivo a peritonitis. </w:t>
      </w:r>
    </w:p>
    <w:p w14:paraId="40745BE2" w14:textId="5F5B489A" w:rsidR="00611497" w:rsidRPr="007B4C00" w:rsidRDefault="00611497" w:rsidP="0002304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7B4C00">
        <w:rPr>
          <w:rFonts w:ascii="Times New Roman" w:eastAsia="Arial" w:hAnsi="Times New Roman" w:cs="Times New Roman"/>
          <w:bCs/>
          <w:iCs/>
          <w:noProof/>
          <w:kern w:val="0"/>
          <w:lang w:val="es-MX"/>
          <w14:ligatures w14:val="none"/>
        </w:rPr>
        <w:lastRenderedPageBreak/>
        <w:t>Para la recolección de los datos, se recolectaron expedientes clínicos que cumplieran con criterios de inclusión, obteniendo las variables ev</w:t>
      </w:r>
      <w:r w:rsidR="00A63A9C" w:rsidRPr="007B4C00">
        <w:rPr>
          <w:rFonts w:ascii="Times New Roman" w:eastAsia="Arial" w:hAnsi="Times New Roman" w:cs="Times New Roman"/>
          <w:bCs/>
          <w:iCs/>
          <w:noProof/>
          <w:kern w:val="0"/>
          <w:lang w:val="es-MX"/>
          <w14:ligatures w14:val="none"/>
        </w:rPr>
        <w:t xml:space="preserve">aluadas. Se utilizo la estadística descriptiva para los datos generales de la poblacion en estudio </w:t>
      </w:r>
      <w:r w:rsidRPr="007B4C00">
        <w:rPr>
          <w:rFonts w:ascii="Times New Roman" w:eastAsia="Arial" w:hAnsi="Times New Roman" w:cs="Times New Roman"/>
          <w:bCs/>
          <w:iCs/>
          <w:noProof/>
          <w:kern w:val="0"/>
          <w:lang w:val="es-MX"/>
          <w14:ligatures w14:val="none"/>
        </w:rPr>
        <w:t>prueba estadística de T- Student</w:t>
      </w:r>
      <w:r w:rsidR="00086AF2" w:rsidRPr="007B4C00">
        <w:rPr>
          <w:rFonts w:ascii="Times New Roman" w:eastAsia="Arial" w:hAnsi="Times New Roman" w:cs="Times New Roman"/>
          <w:bCs/>
          <w:iCs/>
          <w:noProof/>
          <w:kern w:val="0"/>
          <w:lang w:val="es-MX"/>
          <w14:ligatures w14:val="none"/>
        </w:rPr>
        <w:t xml:space="preserve"> asi como el paso por software de analisis de datos. </w:t>
      </w:r>
    </w:p>
    <w:p w14:paraId="4D075F00" w14:textId="2FC9B852" w:rsidR="00D94707" w:rsidRPr="00B64FC6" w:rsidRDefault="00086AF2" w:rsidP="0002304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7B4C00">
        <w:rPr>
          <w:rFonts w:ascii="Times New Roman" w:eastAsia="Arial" w:hAnsi="Times New Roman" w:cs="Times New Roman"/>
          <w:bCs/>
          <w:iCs/>
          <w:noProof/>
          <w:kern w:val="0"/>
          <w:lang w:val="es-MX"/>
          <w14:ligatures w14:val="none"/>
        </w:rPr>
        <w:t>Consideracion eticas, en el presente estudio los pacientes estudiados no fueron somitidos a ninguna prueba experimental. Fue registrado mediant</w:t>
      </w:r>
      <w:r w:rsidR="00A63A9C" w:rsidRPr="007B4C00">
        <w:rPr>
          <w:rFonts w:ascii="Times New Roman" w:eastAsia="Arial" w:hAnsi="Times New Roman" w:cs="Times New Roman"/>
          <w:bCs/>
          <w:iCs/>
          <w:noProof/>
          <w:kern w:val="0"/>
          <w:lang w:val="es-MX"/>
          <w14:ligatures w14:val="none"/>
        </w:rPr>
        <w:t xml:space="preserve">e el comite local de investigacion en salud ( CLISS 2108). La informacion se ajusto a los lineamientios de la ley general de salud de mexico y al codigo de Helsinki incluyendo la confidencialidad de los participantes en el estudio. </w:t>
      </w:r>
    </w:p>
    <w:p w14:paraId="5074A09F" w14:textId="77777777" w:rsidR="00F6543D" w:rsidRPr="007B4C00" w:rsidRDefault="00F6543D" w:rsidP="0002304B">
      <w:pPr>
        <w:widowControl w:val="0"/>
        <w:autoSpaceDE w:val="0"/>
        <w:autoSpaceDN w:val="0"/>
        <w:spacing w:after="0" w:line="480" w:lineRule="auto"/>
        <w:ind w:left="652" w:hanging="652"/>
        <w:outlineLvl w:val="0"/>
        <w:rPr>
          <w:rFonts w:ascii="Times New Roman" w:eastAsia="Arial" w:hAnsi="Times New Roman" w:cs="Times New Roman"/>
          <w:b/>
          <w:bCs/>
          <w:noProof/>
          <w:kern w:val="0"/>
          <w:szCs w:val="24"/>
          <w:lang w:val="es-PY"/>
          <w14:ligatures w14:val="none"/>
        </w:rPr>
      </w:pPr>
      <w:r w:rsidRPr="007B4C00">
        <w:rPr>
          <w:rFonts w:ascii="Times New Roman" w:eastAsia="Arial" w:hAnsi="Times New Roman" w:cs="Times New Roman"/>
          <w:b/>
          <w:bCs/>
          <w:noProof/>
          <w:kern w:val="0"/>
          <w:szCs w:val="24"/>
          <w:lang w:val="es-PY"/>
          <w14:ligatures w14:val="none"/>
        </w:rPr>
        <w:t>RESULTADOS Y DISCUSIÓN</w:t>
      </w:r>
    </w:p>
    <w:p w14:paraId="6DD54088" w14:textId="68B0EE83" w:rsidR="00D64B6F" w:rsidRPr="007B4C00" w:rsidRDefault="00165064" w:rsidP="0002304B">
      <w:pPr>
        <w:tabs>
          <w:tab w:val="left" w:pos="6430"/>
        </w:tabs>
        <w:spacing w:after="0" w:line="480" w:lineRule="auto"/>
        <w:jc w:val="both"/>
        <w:rPr>
          <w:rFonts w:ascii="Times New Roman" w:eastAsia="Arial" w:hAnsi="Times New Roman" w:cs="Times New Roman"/>
          <w:bCs/>
          <w:iCs/>
          <w:noProof/>
          <w:kern w:val="0"/>
          <w:lang w:val="es-MX"/>
          <w14:ligatures w14:val="none"/>
        </w:rPr>
      </w:pPr>
      <w:r w:rsidRPr="007B4C00">
        <w:rPr>
          <w:rFonts w:ascii="Times New Roman" w:eastAsia="Arial" w:hAnsi="Times New Roman" w:cs="Times New Roman"/>
          <w:bCs/>
          <w:iCs/>
          <w:noProof/>
          <w:kern w:val="0"/>
          <w:lang w:val="es-MX"/>
          <w14:ligatures w14:val="none"/>
        </w:rPr>
        <w:t>S</w:t>
      </w:r>
      <w:r w:rsidR="000F1E32" w:rsidRPr="007B4C00">
        <w:rPr>
          <w:rFonts w:ascii="Times New Roman" w:eastAsia="Arial" w:hAnsi="Times New Roman" w:cs="Times New Roman"/>
          <w:bCs/>
          <w:iCs/>
          <w:noProof/>
          <w:kern w:val="0"/>
          <w:lang w:val="es-MX"/>
          <w14:ligatures w14:val="none"/>
        </w:rPr>
        <w:t xml:space="preserve">e obtuvo una muestra final 129 pacientes con enfermedad renal crónica en modalidad de diálisis peritoneal, de los cuales 73 pacientes masculinos y 56 pacientes femenino; 65 pacientes presentaron cuadro de peritonitis asociado a diálisis peritoneal donde solo 22 pacientes cursaron con un cuadro de peritonitis asociado a diálisis peritoneal que cumplían con criterios de inclusión durante el periodo de </w:t>
      </w:r>
    </w:p>
    <w:p w14:paraId="568AB8BB" w14:textId="05A4B19A" w:rsidR="00D64B6F" w:rsidRPr="002F641D" w:rsidRDefault="000F1E32" w:rsidP="0002304B">
      <w:pPr>
        <w:tabs>
          <w:tab w:val="left" w:pos="6430"/>
        </w:tabs>
        <w:spacing w:after="0" w:line="480" w:lineRule="auto"/>
        <w:jc w:val="both"/>
        <w:rPr>
          <w:rFonts w:ascii="Times New Roman" w:eastAsia="Arial" w:hAnsi="Times New Roman" w:cs="Times New Roman"/>
        </w:rPr>
      </w:pPr>
      <w:r w:rsidRPr="007B4C00">
        <w:rPr>
          <w:rFonts w:ascii="Times New Roman" w:eastAsia="Arial" w:hAnsi="Times New Roman" w:cs="Times New Roman"/>
          <w:bCs/>
          <w:iCs/>
          <w:noProof/>
          <w:kern w:val="0"/>
          <w:lang w:val="es-MX"/>
          <w14:ligatures w14:val="none"/>
        </w:rPr>
        <w:t>estudio, de los cuales 13 fueron masculino representando un  59.09 % y 9  femenino representando un 40.90 %. El rango de edad fue de 20 hasta 69 años, la media de edad se reportó de 48.36 años con una desviación estándar de ±14.715</w:t>
      </w:r>
      <w:r w:rsidR="00611497" w:rsidRPr="007B4C00">
        <w:rPr>
          <w:rFonts w:ascii="Times New Roman" w:eastAsia="Arial" w:hAnsi="Times New Roman" w:cs="Times New Roman"/>
          <w:bCs/>
          <w:iCs/>
          <w:noProof/>
          <w:kern w:val="0"/>
          <w:lang w:val="es-MX"/>
          <w14:ligatures w14:val="none"/>
        </w:rPr>
        <w:t>.</w:t>
      </w:r>
      <w:r w:rsidR="00611497" w:rsidRPr="007B4C00">
        <w:rPr>
          <w:rFonts w:ascii="Times New Roman" w:eastAsia="Arial" w:hAnsi="Times New Roman" w:cs="Times New Roman"/>
        </w:rPr>
        <w:t xml:space="preserve"> Con respecto al motivo de ingreso, el 100% de paciente presento un cuadro característico de peritonitis, siendo el dolor abdominal como síntoma mayormente referido en un 100 %, náuseas asociado a vomito con un 18.8 %, fiebre con un 31.81 %, alteraciones en las evacuaciones 18.8 % y alteraciones al momento de infusión </w:t>
      </w:r>
      <w:proofErr w:type="gramStart"/>
      <w:r w:rsidR="00611497" w:rsidRPr="007B4C00">
        <w:rPr>
          <w:rFonts w:ascii="Times New Roman" w:eastAsia="Arial" w:hAnsi="Times New Roman" w:cs="Times New Roman"/>
        </w:rPr>
        <w:t>e</w:t>
      </w:r>
      <w:proofErr w:type="gramEnd"/>
      <w:r w:rsidR="00611497" w:rsidRPr="007B4C00">
        <w:rPr>
          <w:rFonts w:ascii="Times New Roman" w:eastAsia="Arial" w:hAnsi="Times New Roman" w:cs="Times New Roman"/>
        </w:rPr>
        <w:t xml:space="preserve"> efusión de solución </w:t>
      </w:r>
      <w:proofErr w:type="spellStart"/>
      <w:r w:rsidR="00611497" w:rsidRPr="007B4C00">
        <w:rPr>
          <w:rFonts w:ascii="Times New Roman" w:eastAsia="Arial" w:hAnsi="Times New Roman" w:cs="Times New Roman"/>
        </w:rPr>
        <w:t>dializante</w:t>
      </w:r>
      <w:proofErr w:type="spellEnd"/>
      <w:r w:rsidR="00611497" w:rsidRPr="007B4C00">
        <w:rPr>
          <w:rFonts w:ascii="Times New Roman" w:eastAsia="Arial" w:hAnsi="Times New Roman" w:cs="Times New Roman"/>
        </w:rPr>
        <w:t xml:space="preserve"> atreves de cavidad abdominal de 86.36 %. La tasa de incidencia promedio de peritonitis asociado a diálisis peritoneal en este estudio fue de 33.8, menor a lo reportado en un estudio similar por Aco y colaboradores en 2019 en un Hospital de segun</w:t>
      </w:r>
      <w:r w:rsidR="002243C8" w:rsidRPr="007B4C00">
        <w:rPr>
          <w:rFonts w:ascii="Times New Roman" w:eastAsia="Arial" w:hAnsi="Times New Roman" w:cs="Times New Roman"/>
        </w:rPr>
        <w:t>do nivel del estado de Puebla (Aco-Luna J.A, 2019</w:t>
      </w:r>
      <w:r w:rsidR="00611497" w:rsidRPr="007B4C00">
        <w:rPr>
          <w:rFonts w:ascii="Times New Roman" w:eastAsia="Arial" w:hAnsi="Times New Roman" w:cs="Times New Roman"/>
        </w:rPr>
        <w:t>) probablemente asociado la diferencia en el tamaño de la muestra. En México no existe un registro epidemiológico de Enfermedad renal crónica en terapia de sustitución renal con diálisis peritoneal; la mayoría de información obtenida se encuentra en base de datos del Institut</w:t>
      </w:r>
      <w:r w:rsidR="002243C8" w:rsidRPr="007B4C00">
        <w:rPr>
          <w:rFonts w:ascii="Times New Roman" w:eastAsia="Arial" w:hAnsi="Times New Roman" w:cs="Times New Roman"/>
        </w:rPr>
        <w:t>o Mexicano del Seguro social. (</w:t>
      </w:r>
      <w:proofErr w:type="spellStart"/>
      <w:r w:rsidR="002243C8" w:rsidRPr="007B4C00">
        <w:rPr>
          <w:rFonts w:ascii="Times New Roman" w:eastAsia="Arial" w:hAnsi="Times New Roman" w:cs="Times New Roman"/>
        </w:rPr>
        <w:t>Hector</w:t>
      </w:r>
      <w:proofErr w:type="spellEnd"/>
      <w:r w:rsidR="002243C8" w:rsidRPr="007B4C00">
        <w:rPr>
          <w:rFonts w:ascii="Times New Roman" w:eastAsia="Arial" w:hAnsi="Times New Roman" w:cs="Times New Roman"/>
        </w:rPr>
        <w:t xml:space="preserve"> Frenk Julio, 2018</w:t>
      </w:r>
      <w:r w:rsidR="00611497" w:rsidRPr="007B4C00">
        <w:rPr>
          <w:rFonts w:ascii="Times New Roman" w:eastAsia="Arial" w:hAnsi="Times New Roman" w:cs="Times New Roman"/>
        </w:rPr>
        <w:t xml:space="preserve">) Sin embargo consideramos la necesidad de darle </w:t>
      </w:r>
      <w:r w:rsidR="00B64FC6" w:rsidRPr="007B4C00">
        <w:rPr>
          <w:rFonts w:ascii="Times New Roman" w:eastAsia="Arial" w:hAnsi="Times New Roman" w:cs="Times New Roman"/>
        </w:rPr>
        <w:t>continuidad,</w:t>
      </w:r>
      <w:r w:rsidR="00611497" w:rsidRPr="007B4C00">
        <w:rPr>
          <w:rFonts w:ascii="Times New Roman" w:eastAsia="Arial" w:hAnsi="Times New Roman" w:cs="Times New Roman"/>
        </w:rPr>
        <w:t xml:space="preserve"> así como la necesidad de una base de datos que con lleve un registro de paciente en sustitución renal para conocer la estadística real de esta complicación. En el presente estudio los pacientes presentaron su </w:t>
      </w:r>
      <w:r w:rsidR="00611497" w:rsidRPr="007B4C00">
        <w:rPr>
          <w:rFonts w:ascii="Times New Roman" w:eastAsia="Arial" w:hAnsi="Times New Roman" w:cs="Times New Roman"/>
        </w:rPr>
        <w:lastRenderedPageBreak/>
        <w:t xml:space="preserve">primer episodio de peritonitis en los primeros 6 a 7 meses posterior a la colocación de catéter, probablemente asociado a hábitos higiénicos y dietéticos relacionados al procedimiento propio de la diálisis peritoneal. En el presente estudio la tasa incidencia reportada de peritonitis asociada a diálisis peritoneal sirve como precedente para esta unidad como un incentivo a continuar con reporte de casos y estadificar de mejor manera dicha patología. </w:t>
      </w:r>
      <w:r w:rsidR="00165064" w:rsidRPr="007B4C00">
        <w:rPr>
          <w:rFonts w:ascii="Times New Roman" w:eastAsia="Arial" w:hAnsi="Times New Roman" w:cs="Times New Roman"/>
        </w:rPr>
        <w:t>N</w:t>
      </w:r>
      <w:r w:rsidR="00611497" w:rsidRPr="007B4C00">
        <w:rPr>
          <w:rFonts w:ascii="Times New Roman" w:eastAsia="Arial" w:hAnsi="Times New Roman" w:cs="Times New Roman"/>
          <w:color w:val="000000"/>
        </w:rPr>
        <w:t>uestra población, la mayoría de los pacientes presentaron un solo episodio de peritonitis en el tiempo evaluado, mayor a lo encontrado por</w:t>
      </w:r>
      <w:r w:rsidR="00611497" w:rsidRPr="007B4C00">
        <w:rPr>
          <w:rFonts w:ascii="Times New Roman" w:eastAsia="Arial" w:hAnsi="Times New Roman" w:cs="Times New Roman"/>
          <w:color w:val="0563C1"/>
          <w:u w:val="single"/>
        </w:rPr>
        <w:t xml:space="preserve"> </w:t>
      </w:r>
      <w:r w:rsidR="00611497" w:rsidRPr="007B4C00">
        <w:rPr>
          <w:rFonts w:ascii="Times New Roman" w:eastAsia="Arial" w:hAnsi="Times New Roman" w:cs="Times New Roman"/>
          <w:color w:val="000000"/>
        </w:rPr>
        <w:t>Martínez Flores en 2010 en el Hospital Regional de Xalapa donde re</w:t>
      </w:r>
      <w:r w:rsidR="00914E89" w:rsidRPr="007B4C00">
        <w:rPr>
          <w:rFonts w:ascii="Times New Roman" w:eastAsia="Arial" w:hAnsi="Times New Roman" w:cs="Times New Roman"/>
          <w:color w:val="000000"/>
        </w:rPr>
        <w:t xml:space="preserve">portan una incidencia de 0.25 </w:t>
      </w:r>
      <w:proofErr w:type="gramStart"/>
      <w:r w:rsidR="00914E89" w:rsidRPr="007B4C00">
        <w:rPr>
          <w:rFonts w:ascii="Times New Roman" w:eastAsia="Arial" w:hAnsi="Times New Roman" w:cs="Times New Roman"/>
          <w:color w:val="000000"/>
        </w:rPr>
        <w:t xml:space="preserve">( </w:t>
      </w:r>
      <w:proofErr w:type="spellStart"/>
      <w:r w:rsidR="00914E89" w:rsidRPr="007B4C00">
        <w:rPr>
          <w:rFonts w:ascii="Times New Roman" w:eastAsia="Arial" w:hAnsi="Times New Roman" w:cs="Times New Roman"/>
          <w:color w:val="000000"/>
        </w:rPr>
        <w:t>Martinez</w:t>
      </w:r>
      <w:proofErr w:type="spellEnd"/>
      <w:proofErr w:type="gramEnd"/>
      <w:r w:rsidR="00914E89" w:rsidRPr="007B4C00">
        <w:rPr>
          <w:rFonts w:ascii="Times New Roman" w:eastAsia="Arial" w:hAnsi="Times New Roman" w:cs="Times New Roman"/>
          <w:color w:val="000000"/>
        </w:rPr>
        <w:t>-Flores A, 2010</w:t>
      </w:r>
      <w:r w:rsidR="00611497" w:rsidRPr="007B4C00">
        <w:rPr>
          <w:rFonts w:ascii="Times New Roman" w:eastAsia="Arial" w:hAnsi="Times New Roman" w:cs="Times New Roman"/>
          <w:color w:val="000000"/>
        </w:rPr>
        <w:t>).</w:t>
      </w:r>
      <w:r w:rsidR="003A5861" w:rsidRPr="007B4C00">
        <w:rPr>
          <w:rFonts w:ascii="Times New Roman" w:eastAsia="Arial" w:hAnsi="Times New Roman" w:cs="Times New Roman"/>
        </w:rPr>
        <w:t xml:space="preserve"> No se ha realizado ninguna investigación en México, que informaría simultáneamente sobre la frecuencia, causas, susceptibilidad y resistencia a los antibióticos de las infecciones peritoneales en pacientes en diálisis peritoneal y si los resultados corresponden a los de informes internacionales. En este país el 90% de las diálisis se realizan a través del peritoneo y muc</w:t>
      </w:r>
      <w:r w:rsidR="00F92C49" w:rsidRPr="007B4C00">
        <w:rPr>
          <w:rFonts w:ascii="Times New Roman" w:eastAsia="Arial" w:hAnsi="Times New Roman" w:cs="Times New Roman"/>
        </w:rPr>
        <w:t>has de ellas con catéter rígido (Duran-Paredes-Rivera,2006)</w:t>
      </w:r>
      <w:r w:rsidR="00D64B6F" w:rsidRPr="007B4C00">
        <w:rPr>
          <w:rFonts w:ascii="Times New Roman" w:eastAsia="Arial" w:hAnsi="Times New Roman" w:cs="Times New Roman"/>
        </w:rPr>
        <w:t>.</w:t>
      </w:r>
    </w:p>
    <w:p w14:paraId="6DDF329F" w14:textId="705F8014" w:rsidR="00D94707" w:rsidRPr="007B4C00" w:rsidRDefault="00611497" w:rsidP="0002304B">
      <w:pPr>
        <w:tabs>
          <w:tab w:val="left" w:pos="6430"/>
        </w:tabs>
        <w:spacing w:after="0" w:line="480" w:lineRule="auto"/>
        <w:jc w:val="both"/>
        <w:rPr>
          <w:rFonts w:ascii="Times New Roman" w:eastAsia="Arial" w:hAnsi="Times New Roman" w:cs="Times New Roman"/>
          <w:color w:val="000000"/>
        </w:rPr>
      </w:pPr>
      <w:r w:rsidRPr="007B4C00">
        <w:rPr>
          <w:rFonts w:ascii="Times New Roman" w:eastAsia="Arial" w:hAnsi="Times New Roman" w:cs="Times New Roman"/>
        </w:rPr>
        <w:t xml:space="preserve">Es una entidad que al menos se presenta 1 vez en pacientes sometidos a dicho tratamiento de sustitución de la función renal, comparable con las cifras reportadas por </w:t>
      </w:r>
      <w:r w:rsidR="00914E89" w:rsidRPr="007B4C00">
        <w:rPr>
          <w:rFonts w:ascii="Times New Roman" w:eastAsia="Arial" w:hAnsi="Times New Roman" w:cs="Times New Roman"/>
        </w:rPr>
        <w:t>la ISPD de 1.33 casos por año (</w:t>
      </w:r>
      <w:r w:rsidR="00914E89" w:rsidRPr="007B4C00">
        <w:rPr>
          <w:rFonts w:ascii="Times New Roman" w:hAnsi="Times New Roman" w:cs="Times New Roman"/>
        </w:rPr>
        <w:t xml:space="preserve">Pérez, M., </w:t>
      </w:r>
      <w:proofErr w:type="spellStart"/>
      <w:r w:rsidR="00914E89" w:rsidRPr="007B4C00">
        <w:rPr>
          <w:rFonts w:ascii="Times New Roman" w:hAnsi="Times New Roman" w:cs="Times New Roman"/>
        </w:rPr>
        <w:t>Moreiras</w:t>
      </w:r>
      <w:proofErr w:type="spellEnd"/>
      <w:r w:rsidR="00914E89" w:rsidRPr="007B4C00">
        <w:rPr>
          <w:rFonts w:ascii="Times New Roman" w:hAnsi="Times New Roman" w:cs="Times New Roman"/>
        </w:rPr>
        <w:t>, M., Prieto, M., et al. 2022</w:t>
      </w:r>
      <w:r w:rsidRPr="007B4C00">
        <w:rPr>
          <w:rFonts w:ascii="Times New Roman" w:eastAsia="Arial" w:hAnsi="Times New Roman" w:cs="Times New Roman"/>
        </w:rPr>
        <w:t xml:space="preserve">). </w:t>
      </w:r>
      <w:r w:rsidRPr="007B4C00">
        <w:rPr>
          <w:rFonts w:ascii="Times New Roman" w:eastAsia="Arial" w:hAnsi="Times New Roman" w:cs="Times New Roman"/>
          <w:color w:val="000000"/>
        </w:rPr>
        <w:t>La incidencia de la tasa de peritonitis asociada a diálisis peritoneal en el presente estudio es mayor a la supuesta a la guía de práctica clínica mexicana, debido a la falta de información acer</w:t>
      </w:r>
      <w:r w:rsidR="00914E89" w:rsidRPr="007B4C00">
        <w:rPr>
          <w:rFonts w:ascii="Times New Roman" w:eastAsia="Arial" w:hAnsi="Times New Roman" w:cs="Times New Roman"/>
          <w:color w:val="000000"/>
        </w:rPr>
        <w:t>ca de población ajena al IMSS (</w:t>
      </w:r>
      <w:r w:rsidR="00914E89" w:rsidRPr="007B4C00">
        <w:rPr>
          <w:rFonts w:ascii="Times New Roman" w:hAnsi="Times New Roman" w:cs="Times New Roman"/>
        </w:rPr>
        <w:t>Instituto Mexicano del Seguro Social. (2013).</w:t>
      </w:r>
      <w:r w:rsidRPr="007B4C00">
        <w:rPr>
          <w:rFonts w:ascii="Times New Roman" w:eastAsia="Arial" w:hAnsi="Times New Roman" w:cs="Times New Roman"/>
          <w:color w:val="000000"/>
        </w:rPr>
        <w:t xml:space="preserve">). Por lo </w:t>
      </w:r>
      <w:r w:rsidR="002F641D" w:rsidRPr="007B4C00">
        <w:rPr>
          <w:rFonts w:ascii="Times New Roman" w:eastAsia="Arial" w:hAnsi="Times New Roman" w:cs="Times New Roman"/>
          <w:color w:val="000000"/>
        </w:rPr>
        <w:t>tanto,</w:t>
      </w:r>
      <w:r w:rsidRPr="007B4C00">
        <w:rPr>
          <w:rFonts w:ascii="Times New Roman" w:eastAsia="Arial" w:hAnsi="Times New Roman" w:cs="Times New Roman"/>
          <w:color w:val="000000"/>
        </w:rPr>
        <w:t xml:space="preserve"> este estudio presenta una base inicial, donde se considera de suma importancia, para el Instituto Mexicano del Seguro Social a considerar aspectos </w:t>
      </w:r>
      <w:r w:rsidR="002B3998" w:rsidRPr="007B4C00">
        <w:rPr>
          <w:rFonts w:ascii="Times New Roman" w:eastAsia="Arial" w:hAnsi="Times New Roman" w:cs="Times New Roman"/>
          <w:color w:val="000000"/>
        </w:rPr>
        <w:t>sociodemográficos,</w:t>
      </w:r>
      <w:r w:rsidRPr="007B4C00">
        <w:rPr>
          <w:rFonts w:ascii="Times New Roman" w:eastAsia="Arial" w:hAnsi="Times New Roman" w:cs="Times New Roman"/>
          <w:color w:val="000000"/>
        </w:rPr>
        <w:t xml:space="preserve"> así como económicos. </w:t>
      </w:r>
      <w:r w:rsidR="00914E89" w:rsidRPr="007B4C00">
        <w:rPr>
          <w:rFonts w:ascii="Times New Roman" w:eastAsia="Arial" w:hAnsi="Times New Roman" w:cs="Times New Roman"/>
          <w:color w:val="000000"/>
        </w:rPr>
        <w:t xml:space="preserve"> </w:t>
      </w:r>
      <w:r w:rsidR="00914E89" w:rsidRPr="007B4C00">
        <w:rPr>
          <w:rFonts w:ascii="Times New Roman" w:eastAsia="Arial" w:hAnsi="Times New Roman" w:cs="Times New Roman"/>
        </w:rPr>
        <w:t xml:space="preserve">En las pautas más recientes de la International </w:t>
      </w:r>
      <w:proofErr w:type="spellStart"/>
      <w:r w:rsidR="00914E89" w:rsidRPr="007B4C00">
        <w:rPr>
          <w:rFonts w:ascii="Times New Roman" w:eastAsia="Arial" w:hAnsi="Times New Roman" w:cs="Times New Roman"/>
        </w:rPr>
        <w:t>Society</w:t>
      </w:r>
      <w:proofErr w:type="spellEnd"/>
      <w:r w:rsidR="00914E89" w:rsidRPr="007B4C00">
        <w:rPr>
          <w:rFonts w:ascii="Times New Roman" w:eastAsia="Arial" w:hAnsi="Times New Roman" w:cs="Times New Roman"/>
        </w:rPr>
        <w:t xml:space="preserve"> </w:t>
      </w:r>
      <w:proofErr w:type="spellStart"/>
      <w:r w:rsidR="00914E89" w:rsidRPr="007B4C00">
        <w:rPr>
          <w:rFonts w:ascii="Times New Roman" w:eastAsia="Arial" w:hAnsi="Times New Roman" w:cs="Times New Roman"/>
        </w:rPr>
        <w:t>for</w:t>
      </w:r>
      <w:proofErr w:type="spellEnd"/>
      <w:r w:rsidR="00914E89" w:rsidRPr="007B4C00">
        <w:rPr>
          <w:rFonts w:ascii="Times New Roman" w:eastAsia="Arial" w:hAnsi="Times New Roman" w:cs="Times New Roman"/>
        </w:rPr>
        <w:t xml:space="preserve"> Peritoneal </w:t>
      </w:r>
      <w:proofErr w:type="spellStart"/>
      <w:r w:rsidR="00914E89" w:rsidRPr="007B4C00">
        <w:rPr>
          <w:rFonts w:ascii="Times New Roman" w:eastAsia="Arial" w:hAnsi="Times New Roman" w:cs="Times New Roman"/>
        </w:rPr>
        <w:t>Dialysis</w:t>
      </w:r>
      <w:proofErr w:type="spellEnd"/>
      <w:r w:rsidR="00914E89" w:rsidRPr="007B4C00">
        <w:rPr>
          <w:rFonts w:ascii="Times New Roman" w:eastAsia="Arial" w:hAnsi="Times New Roman" w:cs="Times New Roman"/>
        </w:rPr>
        <w:t xml:space="preserve"> el comité hizo mayor énfasis en la sección sobre prevención, ya que se ha observado que prevenir la peritonitis es una de las claves del éxito de la DP (</w:t>
      </w:r>
      <w:r w:rsidR="00914E89" w:rsidRPr="007B4C00">
        <w:rPr>
          <w:rFonts w:ascii="Times New Roman" w:hAnsi="Times New Roman" w:cs="Times New Roman"/>
        </w:rPr>
        <w:t xml:space="preserve">Stuart, T., </w:t>
      </w:r>
      <w:proofErr w:type="spellStart"/>
      <w:r w:rsidR="00914E89" w:rsidRPr="007B4C00">
        <w:rPr>
          <w:rFonts w:ascii="Times New Roman" w:hAnsi="Times New Roman" w:cs="Times New Roman"/>
        </w:rPr>
        <w:t>Booth</w:t>
      </w:r>
      <w:proofErr w:type="spellEnd"/>
      <w:r w:rsidR="00914E89" w:rsidRPr="007B4C00">
        <w:rPr>
          <w:rFonts w:ascii="Times New Roman" w:hAnsi="Times New Roman" w:cs="Times New Roman"/>
        </w:rPr>
        <w:t xml:space="preserve">, C, </w:t>
      </w:r>
      <w:r w:rsidR="002F641D" w:rsidRPr="007B4C00">
        <w:rPr>
          <w:rFonts w:ascii="Times New Roman" w:hAnsi="Times New Roman" w:cs="Times New Roman"/>
        </w:rPr>
        <w:t>2009)</w:t>
      </w:r>
      <w:r w:rsidR="00D64B6F" w:rsidRPr="007B4C00">
        <w:rPr>
          <w:rFonts w:ascii="Times New Roman" w:hAnsi="Times New Roman" w:cs="Times New Roman"/>
        </w:rPr>
        <w:t>.</w:t>
      </w:r>
    </w:p>
    <w:p w14:paraId="3463E41F" w14:textId="77777777" w:rsidR="00374E79" w:rsidRDefault="00374E79">
      <w:pPr>
        <w:rPr>
          <w:rFonts w:ascii="Times New Roman" w:eastAsia="Arial" w:hAnsi="Times New Roman" w:cs="Times New Roman"/>
          <w:b/>
          <w:bCs/>
          <w:noProof/>
          <w:kern w:val="0"/>
          <w:szCs w:val="24"/>
          <w:lang w:val="es-PY"/>
          <w14:ligatures w14:val="none"/>
        </w:rPr>
      </w:pPr>
      <w:r>
        <w:rPr>
          <w:rFonts w:ascii="Times New Roman" w:eastAsia="Arial" w:hAnsi="Times New Roman" w:cs="Times New Roman"/>
          <w:b/>
          <w:bCs/>
          <w:noProof/>
          <w:kern w:val="0"/>
          <w:szCs w:val="24"/>
          <w:lang w:val="es-PY"/>
          <w14:ligatures w14:val="none"/>
        </w:rPr>
        <w:br w:type="page"/>
      </w:r>
    </w:p>
    <w:p w14:paraId="719B3C55" w14:textId="2DAF2D26" w:rsidR="00F6543D" w:rsidRDefault="00374E79" w:rsidP="0002304B">
      <w:pPr>
        <w:widowControl w:val="0"/>
        <w:autoSpaceDE w:val="0"/>
        <w:autoSpaceDN w:val="0"/>
        <w:spacing w:after="0" w:line="480" w:lineRule="auto"/>
        <w:ind w:left="652" w:hanging="652"/>
        <w:outlineLvl w:val="0"/>
        <w:rPr>
          <w:rFonts w:ascii="Times New Roman" w:eastAsia="Arial" w:hAnsi="Times New Roman" w:cs="Times New Roman"/>
          <w:b/>
          <w:bCs/>
          <w:noProof/>
          <w:kern w:val="0"/>
          <w:szCs w:val="24"/>
          <w:lang w:val="es-PY"/>
          <w14:ligatures w14:val="none"/>
        </w:rPr>
      </w:pPr>
      <w:r w:rsidRPr="007B4C00">
        <w:rPr>
          <w:rFonts w:ascii="Times New Roman" w:eastAsia="Arial" w:hAnsi="Times New Roman" w:cs="Times New Roman"/>
          <w:b/>
          <w:bCs/>
          <w:noProof/>
          <w:kern w:val="0"/>
          <w:szCs w:val="24"/>
          <w:lang w:val="es-PY"/>
          <w14:ligatures w14:val="none"/>
        </w:rPr>
        <w:lastRenderedPageBreak/>
        <w:t>Ilustraciones, Tablas, Figuras</w:t>
      </w:r>
    </w:p>
    <w:p w14:paraId="7FAA698D" w14:textId="5DFD7D7F" w:rsidR="00374E79" w:rsidRPr="00374E79" w:rsidRDefault="00374E79" w:rsidP="00374E79">
      <w:pPr>
        <w:widowControl w:val="0"/>
        <w:tabs>
          <w:tab w:val="left" w:pos="523"/>
        </w:tabs>
        <w:autoSpaceDE w:val="0"/>
        <w:autoSpaceDN w:val="0"/>
        <w:spacing w:after="0" w:line="240" w:lineRule="auto"/>
        <w:jc w:val="both"/>
        <w:outlineLvl w:val="2"/>
        <w:rPr>
          <w:rFonts w:ascii="Times New Roman" w:eastAsia="Arial" w:hAnsi="Times New Roman" w:cs="Times New Roman"/>
          <w:bCs/>
          <w:iCs/>
          <w:noProof/>
          <w:kern w:val="0"/>
          <w:lang w:val="es-MX"/>
          <w14:ligatures w14:val="none"/>
        </w:rPr>
      </w:pPr>
      <w:r w:rsidRPr="00374E79">
        <w:rPr>
          <w:rFonts w:ascii="Times New Roman" w:eastAsia="Arial" w:hAnsi="Times New Roman" w:cs="Times New Roman"/>
          <w:b/>
          <w:iCs/>
          <w:noProof/>
          <w:kern w:val="0"/>
          <w:lang w:val="es-MX"/>
          <w14:ligatures w14:val="none"/>
        </w:rPr>
        <w:t>Gráfica 1.</w:t>
      </w:r>
      <w:r w:rsidRPr="007B4C00">
        <w:rPr>
          <w:rFonts w:ascii="Times New Roman" w:eastAsia="Arial" w:hAnsi="Times New Roman" w:cs="Times New Roman"/>
          <w:bCs/>
          <w:iCs/>
          <w:noProof/>
          <w:kern w:val="0"/>
          <w:lang w:val="es-MX"/>
          <w14:ligatures w14:val="none"/>
        </w:rPr>
        <w:t xml:space="preserve"> Distribucion por genero. </w:t>
      </w:r>
    </w:p>
    <w:p w14:paraId="123951B7" w14:textId="3C008F94" w:rsidR="000F1E32" w:rsidRDefault="000F1E32" w:rsidP="0002304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7B4C00">
        <w:rPr>
          <w:rFonts w:ascii="Times New Roman" w:hAnsi="Times New Roman" w:cs="Times New Roman"/>
          <w:noProof/>
          <w:lang w:val="es-MX" w:eastAsia="es-MX"/>
        </w:rPr>
        <w:drawing>
          <wp:inline distT="0" distB="0" distL="0" distR="0" wp14:anchorId="7C910025" wp14:editId="2A11901D">
            <wp:extent cx="4572000" cy="2710702"/>
            <wp:effectExtent l="0" t="0" r="0"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DC7EB7" w14:textId="513EBCC7" w:rsidR="00374E79" w:rsidRPr="007B4C00" w:rsidRDefault="00374E79" w:rsidP="00374E79">
      <w:pPr>
        <w:widowControl w:val="0"/>
        <w:tabs>
          <w:tab w:val="left" w:pos="523"/>
        </w:tabs>
        <w:autoSpaceDE w:val="0"/>
        <w:autoSpaceDN w:val="0"/>
        <w:spacing w:after="0" w:line="240" w:lineRule="auto"/>
        <w:jc w:val="both"/>
        <w:outlineLvl w:val="2"/>
        <w:rPr>
          <w:rFonts w:ascii="Times New Roman" w:eastAsia="Arial" w:hAnsi="Times New Roman" w:cs="Times New Roman"/>
          <w:bCs/>
          <w:iCs/>
          <w:noProof/>
          <w:kern w:val="0"/>
          <w:lang w:val="es-MX"/>
          <w14:ligatures w14:val="none"/>
        </w:rPr>
      </w:pPr>
      <w:r w:rsidRPr="00374E79">
        <w:rPr>
          <w:rFonts w:ascii="Times New Roman" w:eastAsia="Arial" w:hAnsi="Times New Roman" w:cs="Times New Roman"/>
          <w:b/>
          <w:iCs/>
          <w:noProof/>
          <w:kern w:val="0"/>
          <w:lang w:val="es-MX"/>
          <w14:ligatures w14:val="none"/>
        </w:rPr>
        <w:t>Tabla 2.</w:t>
      </w:r>
      <w:r w:rsidRPr="007B4C00">
        <w:rPr>
          <w:rFonts w:ascii="Times New Roman" w:eastAsia="Arial" w:hAnsi="Times New Roman" w:cs="Times New Roman"/>
          <w:bCs/>
          <w:iCs/>
          <w:noProof/>
          <w:kern w:val="0"/>
          <w:lang w:val="es-MX"/>
          <w14:ligatures w14:val="none"/>
        </w:rPr>
        <w:t xml:space="preserve"> Distribucion por edad. </w:t>
      </w:r>
    </w:p>
    <w:p w14:paraId="615F973D" w14:textId="48430755" w:rsidR="000F1E32" w:rsidRPr="007B4C00" w:rsidRDefault="000F1E32" w:rsidP="0002304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7B4C00">
        <w:rPr>
          <w:rFonts w:ascii="Times New Roman" w:hAnsi="Times New Roman" w:cs="Times New Roman"/>
          <w:noProof/>
          <w:lang w:val="es-MX" w:eastAsia="es-MX"/>
        </w:rPr>
        <w:drawing>
          <wp:inline distT="0" distB="0" distL="0" distR="0" wp14:anchorId="4E7D2BAF" wp14:editId="0BFD3002">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115B30" w14:textId="625E6AC0" w:rsidR="000B3AF6" w:rsidRPr="007B4C00" w:rsidRDefault="000B3AF6" w:rsidP="000B3AF6">
      <w:pPr>
        <w:widowControl w:val="0"/>
        <w:tabs>
          <w:tab w:val="left" w:pos="523"/>
        </w:tabs>
        <w:autoSpaceDE w:val="0"/>
        <w:autoSpaceDN w:val="0"/>
        <w:spacing w:after="0" w:line="240" w:lineRule="auto"/>
        <w:jc w:val="both"/>
        <w:outlineLvl w:val="2"/>
        <w:rPr>
          <w:rFonts w:ascii="Times New Roman" w:eastAsia="Arial" w:hAnsi="Times New Roman" w:cs="Times New Roman"/>
          <w:bCs/>
          <w:iCs/>
          <w:noProof/>
          <w:kern w:val="0"/>
          <w:lang w:val="es-MX"/>
          <w14:ligatures w14:val="none"/>
        </w:rPr>
      </w:pPr>
      <w:r w:rsidRPr="000B3AF6">
        <w:rPr>
          <w:rFonts w:ascii="Times New Roman" w:eastAsia="Arial" w:hAnsi="Times New Roman" w:cs="Times New Roman"/>
          <w:b/>
          <w:iCs/>
          <w:noProof/>
          <w:kern w:val="0"/>
          <w:lang w:val="es-MX"/>
          <w14:ligatures w14:val="none"/>
        </w:rPr>
        <w:t xml:space="preserve">Tabla </w:t>
      </w:r>
      <w:r>
        <w:rPr>
          <w:rFonts w:ascii="Times New Roman" w:eastAsia="Arial" w:hAnsi="Times New Roman" w:cs="Times New Roman"/>
          <w:b/>
          <w:iCs/>
          <w:noProof/>
          <w:kern w:val="0"/>
          <w:lang w:val="es-MX"/>
          <w14:ligatures w14:val="none"/>
        </w:rPr>
        <w:t>1</w:t>
      </w:r>
      <w:r w:rsidRPr="000B3AF6">
        <w:rPr>
          <w:rFonts w:ascii="Times New Roman" w:eastAsia="Arial" w:hAnsi="Times New Roman" w:cs="Times New Roman"/>
          <w:b/>
          <w:iCs/>
          <w:noProof/>
          <w:kern w:val="0"/>
          <w:lang w:val="es-MX"/>
          <w14:ligatures w14:val="none"/>
        </w:rPr>
        <w:t>.</w:t>
      </w:r>
      <w:r w:rsidRPr="007B4C00">
        <w:rPr>
          <w:rFonts w:ascii="Times New Roman" w:eastAsia="Arial" w:hAnsi="Times New Roman" w:cs="Times New Roman"/>
          <w:bCs/>
          <w:iCs/>
          <w:noProof/>
          <w:kern w:val="0"/>
          <w:lang w:val="es-MX"/>
          <w14:ligatures w14:val="none"/>
        </w:rPr>
        <w:t xml:space="preserve"> Sintomas asociados al ingreso de pacientes con sospecha de peritonitis. </w:t>
      </w:r>
    </w:p>
    <w:tbl>
      <w:tblPr>
        <w:tblW w:w="8142"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4071"/>
        <w:gridCol w:w="4071"/>
      </w:tblGrid>
      <w:tr w:rsidR="000F1E32" w:rsidRPr="007B4C00" w14:paraId="47B07AC8" w14:textId="77777777" w:rsidTr="00CE6B71">
        <w:trPr>
          <w:trHeight w:val="316"/>
        </w:trPr>
        <w:tc>
          <w:tcPr>
            <w:tcW w:w="4071" w:type="dxa"/>
          </w:tcPr>
          <w:p w14:paraId="0762E445" w14:textId="77777777" w:rsidR="000F1E32" w:rsidRPr="007B4C00" w:rsidRDefault="000F1E32" w:rsidP="0002304B">
            <w:pPr>
              <w:spacing w:after="0"/>
              <w:jc w:val="center"/>
              <w:rPr>
                <w:rFonts w:ascii="Times New Roman" w:eastAsia="Arial" w:hAnsi="Times New Roman" w:cs="Times New Roman"/>
              </w:rPr>
            </w:pPr>
          </w:p>
        </w:tc>
        <w:tc>
          <w:tcPr>
            <w:tcW w:w="4071" w:type="dxa"/>
          </w:tcPr>
          <w:p w14:paraId="77DBD612" w14:textId="77777777" w:rsidR="000F1E32" w:rsidRPr="007B4C00" w:rsidRDefault="000F1E32" w:rsidP="0002304B">
            <w:pPr>
              <w:spacing w:after="0"/>
              <w:jc w:val="center"/>
              <w:rPr>
                <w:rFonts w:ascii="Times New Roman" w:eastAsia="Arial" w:hAnsi="Times New Roman" w:cs="Times New Roman"/>
              </w:rPr>
            </w:pPr>
          </w:p>
        </w:tc>
      </w:tr>
      <w:tr w:rsidR="000F1E32" w:rsidRPr="007B4C00" w14:paraId="068A3F0E" w14:textId="77777777" w:rsidTr="00CE6B71">
        <w:trPr>
          <w:trHeight w:val="316"/>
        </w:trPr>
        <w:tc>
          <w:tcPr>
            <w:tcW w:w="4071" w:type="dxa"/>
          </w:tcPr>
          <w:p w14:paraId="58632970"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Síntomas de ingreso n (%)</w:t>
            </w:r>
          </w:p>
          <w:p w14:paraId="6F39A545" w14:textId="77777777" w:rsidR="000F1E32" w:rsidRPr="007B4C00" w:rsidRDefault="000F1E32" w:rsidP="0002304B">
            <w:pPr>
              <w:spacing w:after="0"/>
              <w:jc w:val="center"/>
              <w:rPr>
                <w:rFonts w:ascii="Times New Roman" w:eastAsia="Arial" w:hAnsi="Times New Roman" w:cs="Times New Roman"/>
              </w:rPr>
            </w:pPr>
          </w:p>
          <w:p w14:paraId="11864460"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 xml:space="preserve">Dolor abdominal </w:t>
            </w:r>
          </w:p>
          <w:p w14:paraId="66F9D789"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 xml:space="preserve">Alteraciones en la solución </w:t>
            </w:r>
            <w:proofErr w:type="spellStart"/>
            <w:r w:rsidRPr="007B4C00">
              <w:rPr>
                <w:rFonts w:ascii="Times New Roman" w:eastAsia="Arial" w:hAnsi="Times New Roman" w:cs="Times New Roman"/>
              </w:rPr>
              <w:t>dializante</w:t>
            </w:r>
            <w:proofErr w:type="spellEnd"/>
          </w:p>
          <w:p w14:paraId="19CE999C"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Fiebre</w:t>
            </w:r>
          </w:p>
          <w:p w14:paraId="25E7AC4C"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Nauseas / vomito</w:t>
            </w:r>
          </w:p>
          <w:p w14:paraId="43C9A30C"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Alteración en las evacuaciones</w:t>
            </w:r>
          </w:p>
          <w:p w14:paraId="2980C91F" w14:textId="77777777" w:rsidR="000F1E32" w:rsidRPr="007B4C00" w:rsidRDefault="000F1E32" w:rsidP="0002304B">
            <w:pPr>
              <w:spacing w:after="0"/>
              <w:jc w:val="center"/>
              <w:rPr>
                <w:rFonts w:ascii="Times New Roman" w:eastAsia="Arial" w:hAnsi="Times New Roman" w:cs="Times New Roman"/>
              </w:rPr>
            </w:pPr>
          </w:p>
        </w:tc>
        <w:tc>
          <w:tcPr>
            <w:tcW w:w="4071" w:type="dxa"/>
          </w:tcPr>
          <w:p w14:paraId="4CB061DC" w14:textId="77777777" w:rsidR="000F1E32" w:rsidRPr="007B4C00" w:rsidRDefault="000F1E32" w:rsidP="0002304B">
            <w:pPr>
              <w:spacing w:after="0"/>
              <w:jc w:val="center"/>
              <w:rPr>
                <w:rFonts w:ascii="Times New Roman" w:eastAsia="Arial" w:hAnsi="Times New Roman" w:cs="Times New Roman"/>
              </w:rPr>
            </w:pPr>
          </w:p>
          <w:p w14:paraId="25A70639" w14:textId="77777777" w:rsidR="000F1E32" w:rsidRPr="007B4C00" w:rsidRDefault="000F1E32" w:rsidP="0002304B">
            <w:pPr>
              <w:spacing w:after="0"/>
              <w:jc w:val="center"/>
              <w:rPr>
                <w:rFonts w:ascii="Times New Roman" w:eastAsia="Arial" w:hAnsi="Times New Roman" w:cs="Times New Roman"/>
              </w:rPr>
            </w:pPr>
          </w:p>
          <w:p w14:paraId="13A66F42"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22 (100 %)</w:t>
            </w:r>
          </w:p>
          <w:p w14:paraId="7306F371"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 xml:space="preserve">19 </w:t>
            </w:r>
            <w:proofErr w:type="gramStart"/>
            <w:r w:rsidRPr="007B4C00">
              <w:rPr>
                <w:rFonts w:ascii="Times New Roman" w:eastAsia="Arial" w:hAnsi="Times New Roman" w:cs="Times New Roman"/>
              </w:rPr>
              <w:t>( 86.36</w:t>
            </w:r>
            <w:proofErr w:type="gramEnd"/>
            <w:r w:rsidRPr="007B4C00">
              <w:rPr>
                <w:rFonts w:ascii="Times New Roman" w:eastAsia="Arial" w:hAnsi="Times New Roman" w:cs="Times New Roman"/>
              </w:rPr>
              <w:t xml:space="preserve"> % )</w:t>
            </w:r>
          </w:p>
          <w:p w14:paraId="6CB6264A" w14:textId="77777777" w:rsidR="000F1E32" w:rsidRPr="007B4C00" w:rsidRDefault="000F1E32" w:rsidP="0002304B">
            <w:pPr>
              <w:spacing w:after="0"/>
              <w:jc w:val="center"/>
              <w:rPr>
                <w:rFonts w:ascii="Times New Roman" w:eastAsia="Arial" w:hAnsi="Times New Roman" w:cs="Times New Roman"/>
              </w:rPr>
            </w:pPr>
          </w:p>
          <w:p w14:paraId="22E7E8FC"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 xml:space="preserve">7 </w:t>
            </w:r>
            <w:proofErr w:type="gramStart"/>
            <w:r w:rsidRPr="007B4C00">
              <w:rPr>
                <w:rFonts w:ascii="Times New Roman" w:eastAsia="Arial" w:hAnsi="Times New Roman" w:cs="Times New Roman"/>
              </w:rPr>
              <w:t>( 31.81</w:t>
            </w:r>
            <w:proofErr w:type="gramEnd"/>
            <w:r w:rsidRPr="007B4C00">
              <w:rPr>
                <w:rFonts w:ascii="Times New Roman" w:eastAsia="Arial" w:hAnsi="Times New Roman" w:cs="Times New Roman"/>
              </w:rPr>
              <w:t xml:space="preserve"> )</w:t>
            </w:r>
          </w:p>
          <w:p w14:paraId="35E1C804"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5 (18.8%)</w:t>
            </w:r>
          </w:p>
          <w:p w14:paraId="31C30B55" w14:textId="77777777" w:rsidR="000F1E32" w:rsidRPr="007B4C00" w:rsidRDefault="000F1E32" w:rsidP="0002304B">
            <w:pPr>
              <w:spacing w:after="0"/>
              <w:jc w:val="center"/>
              <w:rPr>
                <w:rFonts w:ascii="Times New Roman" w:eastAsia="Arial" w:hAnsi="Times New Roman" w:cs="Times New Roman"/>
              </w:rPr>
            </w:pPr>
            <w:r w:rsidRPr="007B4C00">
              <w:rPr>
                <w:rFonts w:ascii="Times New Roman" w:eastAsia="Arial" w:hAnsi="Times New Roman" w:cs="Times New Roman"/>
              </w:rPr>
              <w:t>4 (18.8 %)</w:t>
            </w:r>
          </w:p>
          <w:p w14:paraId="22969977" w14:textId="77777777" w:rsidR="000F1E32" w:rsidRPr="007B4C00" w:rsidRDefault="000F1E32" w:rsidP="0002304B">
            <w:pPr>
              <w:spacing w:after="0"/>
              <w:jc w:val="center"/>
              <w:rPr>
                <w:rFonts w:ascii="Times New Roman" w:eastAsia="Arial" w:hAnsi="Times New Roman" w:cs="Times New Roman"/>
              </w:rPr>
            </w:pPr>
          </w:p>
        </w:tc>
      </w:tr>
    </w:tbl>
    <w:p w14:paraId="1C40BF8A" w14:textId="23A740D1" w:rsidR="00CE6B71" w:rsidRDefault="00CE6B71" w:rsidP="0002304B">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p>
    <w:p w14:paraId="626E5642" w14:textId="77777777" w:rsidR="00CE6B71" w:rsidRDefault="00CE6B71">
      <w:pPr>
        <w:rPr>
          <w:rFonts w:ascii="Times New Roman" w:eastAsia="Arial" w:hAnsi="Times New Roman" w:cs="Times New Roman"/>
          <w:bCs/>
          <w:iCs/>
          <w:noProof/>
          <w:kern w:val="0"/>
          <w:lang w:val="es-MX"/>
          <w14:ligatures w14:val="none"/>
        </w:rPr>
      </w:pPr>
      <w:r>
        <w:rPr>
          <w:rFonts w:ascii="Times New Roman" w:eastAsia="Arial" w:hAnsi="Times New Roman" w:cs="Times New Roman"/>
          <w:bCs/>
          <w:iCs/>
          <w:noProof/>
          <w:kern w:val="0"/>
          <w:lang w:val="es-MX"/>
          <w14:ligatures w14:val="none"/>
        </w:rPr>
        <w:br w:type="page"/>
      </w:r>
    </w:p>
    <w:p w14:paraId="1ACD8E72" w14:textId="65E7054A" w:rsidR="003F308C" w:rsidRPr="001D3B00" w:rsidRDefault="00F6543D" w:rsidP="001D3B00">
      <w:pPr>
        <w:widowControl w:val="0"/>
        <w:autoSpaceDE w:val="0"/>
        <w:autoSpaceDN w:val="0"/>
        <w:spacing w:after="0" w:line="480" w:lineRule="auto"/>
        <w:ind w:left="652" w:hanging="652"/>
        <w:outlineLvl w:val="0"/>
        <w:rPr>
          <w:rFonts w:ascii="Times New Roman" w:eastAsia="Arial" w:hAnsi="Times New Roman" w:cs="Times New Roman"/>
          <w:b/>
          <w:bCs/>
          <w:noProof/>
          <w:kern w:val="0"/>
          <w:szCs w:val="24"/>
          <w:lang w:val="es-PY"/>
          <w14:ligatures w14:val="none"/>
        </w:rPr>
      </w:pPr>
      <w:r w:rsidRPr="007B4C00">
        <w:rPr>
          <w:rFonts w:ascii="Times New Roman" w:eastAsia="Arial" w:hAnsi="Times New Roman" w:cs="Times New Roman"/>
          <w:b/>
          <w:bCs/>
          <w:noProof/>
          <w:kern w:val="0"/>
          <w:szCs w:val="24"/>
          <w:lang w:val="es-PY"/>
          <w14:ligatures w14:val="none"/>
        </w:rPr>
        <w:lastRenderedPageBreak/>
        <w:t>CONCLUSIONES</w:t>
      </w:r>
    </w:p>
    <w:p w14:paraId="5384DAF1" w14:textId="60F321EB" w:rsidR="003A5861" w:rsidRPr="007B4C00" w:rsidRDefault="00592974" w:rsidP="0002304B">
      <w:pPr>
        <w:widowControl w:val="0"/>
        <w:tabs>
          <w:tab w:val="left" w:pos="523"/>
        </w:tabs>
        <w:autoSpaceDE w:val="0"/>
        <w:autoSpaceDN w:val="0"/>
        <w:spacing w:after="0" w:line="480" w:lineRule="auto"/>
        <w:jc w:val="both"/>
        <w:outlineLvl w:val="2"/>
        <w:rPr>
          <w:rFonts w:ascii="Times New Roman" w:eastAsia="Arial" w:hAnsi="Times New Roman" w:cs="Times New Roman"/>
          <w:color w:val="000000"/>
        </w:rPr>
      </w:pPr>
      <w:r w:rsidRPr="007B4C00">
        <w:rPr>
          <w:rFonts w:ascii="Times New Roman" w:eastAsia="Arial" w:hAnsi="Times New Roman" w:cs="Times New Roman"/>
          <w:color w:val="000000"/>
        </w:rPr>
        <w:t>A</w:t>
      </w:r>
      <w:r w:rsidR="002C5427" w:rsidRPr="007B4C00">
        <w:rPr>
          <w:rFonts w:ascii="Times New Roman" w:eastAsia="Arial" w:hAnsi="Times New Roman" w:cs="Times New Roman"/>
          <w:color w:val="000000"/>
        </w:rPr>
        <w:t xml:space="preserve"> la actualidad en </w:t>
      </w:r>
      <w:r w:rsidRPr="007B4C00">
        <w:rPr>
          <w:rFonts w:ascii="Times New Roman" w:eastAsia="Arial" w:hAnsi="Times New Roman" w:cs="Times New Roman"/>
          <w:color w:val="000000"/>
        </w:rPr>
        <w:t xml:space="preserve">México al contar con poca </w:t>
      </w:r>
      <w:r w:rsidR="008127AD" w:rsidRPr="007B4C00">
        <w:rPr>
          <w:rFonts w:ascii="Times New Roman" w:eastAsia="Arial" w:hAnsi="Times New Roman" w:cs="Times New Roman"/>
          <w:color w:val="000000"/>
        </w:rPr>
        <w:t>información</w:t>
      </w:r>
      <w:r w:rsidRPr="007B4C00">
        <w:rPr>
          <w:rFonts w:ascii="Times New Roman" w:eastAsia="Arial" w:hAnsi="Times New Roman" w:cs="Times New Roman"/>
          <w:color w:val="000000"/>
        </w:rPr>
        <w:t xml:space="preserve"> </w:t>
      </w:r>
      <w:r w:rsidR="008127AD" w:rsidRPr="007B4C00">
        <w:rPr>
          <w:rFonts w:ascii="Times New Roman" w:eastAsia="Arial" w:hAnsi="Times New Roman" w:cs="Times New Roman"/>
          <w:color w:val="000000"/>
        </w:rPr>
        <w:t>obtenida</w:t>
      </w:r>
      <w:r w:rsidRPr="007B4C00">
        <w:rPr>
          <w:rFonts w:ascii="Times New Roman" w:eastAsia="Arial" w:hAnsi="Times New Roman" w:cs="Times New Roman"/>
          <w:color w:val="000000"/>
        </w:rPr>
        <w:t xml:space="preserve"> por medios </w:t>
      </w:r>
      <w:r w:rsidR="008127AD" w:rsidRPr="007B4C00">
        <w:rPr>
          <w:rFonts w:ascii="Times New Roman" w:eastAsia="Arial" w:hAnsi="Times New Roman" w:cs="Times New Roman"/>
          <w:color w:val="000000"/>
        </w:rPr>
        <w:t>institucionales</w:t>
      </w:r>
      <w:r w:rsidRPr="007B4C00">
        <w:rPr>
          <w:rFonts w:ascii="Times New Roman" w:eastAsia="Arial" w:hAnsi="Times New Roman" w:cs="Times New Roman"/>
          <w:color w:val="000000"/>
        </w:rPr>
        <w:t xml:space="preserve"> merma la adecuada </w:t>
      </w:r>
      <w:r w:rsidR="008127AD" w:rsidRPr="007B4C00">
        <w:rPr>
          <w:rFonts w:ascii="Times New Roman" w:eastAsia="Arial" w:hAnsi="Times New Roman" w:cs="Times New Roman"/>
          <w:color w:val="000000"/>
        </w:rPr>
        <w:t>evaluación</w:t>
      </w:r>
      <w:r w:rsidRPr="007B4C00">
        <w:rPr>
          <w:rFonts w:ascii="Times New Roman" w:eastAsia="Arial" w:hAnsi="Times New Roman" w:cs="Times New Roman"/>
          <w:color w:val="000000"/>
        </w:rPr>
        <w:t xml:space="preserve"> de incidencia, prevalencias u otros datos </w:t>
      </w:r>
      <w:r w:rsidR="008127AD" w:rsidRPr="007B4C00">
        <w:rPr>
          <w:rFonts w:ascii="Times New Roman" w:eastAsia="Arial" w:hAnsi="Times New Roman" w:cs="Times New Roman"/>
          <w:color w:val="000000"/>
        </w:rPr>
        <w:t>epidemiológicos</w:t>
      </w:r>
      <w:r w:rsidRPr="007B4C00">
        <w:rPr>
          <w:rFonts w:ascii="Times New Roman" w:eastAsia="Arial" w:hAnsi="Times New Roman" w:cs="Times New Roman"/>
          <w:color w:val="000000"/>
        </w:rPr>
        <w:t xml:space="preserve">: la </w:t>
      </w:r>
      <w:r w:rsidR="008127AD" w:rsidRPr="007B4C00">
        <w:rPr>
          <w:rFonts w:ascii="Times New Roman" w:eastAsia="Arial" w:hAnsi="Times New Roman" w:cs="Times New Roman"/>
          <w:color w:val="000000"/>
        </w:rPr>
        <w:t>mayoría</w:t>
      </w:r>
      <w:r w:rsidRPr="007B4C00">
        <w:rPr>
          <w:rFonts w:ascii="Times New Roman" w:eastAsia="Arial" w:hAnsi="Times New Roman" w:cs="Times New Roman"/>
          <w:color w:val="000000"/>
        </w:rPr>
        <w:t xml:space="preserve"> de dicha </w:t>
      </w:r>
      <w:r w:rsidR="008127AD" w:rsidRPr="007B4C00">
        <w:rPr>
          <w:rFonts w:ascii="Times New Roman" w:eastAsia="Arial" w:hAnsi="Times New Roman" w:cs="Times New Roman"/>
          <w:color w:val="000000"/>
        </w:rPr>
        <w:t>información</w:t>
      </w:r>
      <w:r w:rsidRPr="007B4C00">
        <w:rPr>
          <w:rFonts w:ascii="Times New Roman" w:eastAsia="Arial" w:hAnsi="Times New Roman" w:cs="Times New Roman"/>
          <w:color w:val="000000"/>
        </w:rPr>
        <w:t xml:space="preserve"> </w:t>
      </w:r>
      <w:r w:rsidR="002C5427" w:rsidRPr="007B4C00">
        <w:rPr>
          <w:rFonts w:ascii="Times New Roman" w:eastAsia="Arial" w:hAnsi="Times New Roman" w:cs="Times New Roman"/>
          <w:color w:val="000000"/>
        </w:rPr>
        <w:t xml:space="preserve">se obtiene de hospitales del </w:t>
      </w:r>
      <w:r w:rsidR="008127AD" w:rsidRPr="007B4C00">
        <w:rPr>
          <w:rFonts w:ascii="Times New Roman" w:eastAsia="Arial" w:hAnsi="Times New Roman" w:cs="Times New Roman"/>
          <w:color w:val="000000"/>
        </w:rPr>
        <w:t>régimen</w:t>
      </w:r>
      <w:r w:rsidR="002C5427" w:rsidRPr="007B4C00">
        <w:rPr>
          <w:rFonts w:ascii="Times New Roman" w:eastAsia="Arial" w:hAnsi="Times New Roman" w:cs="Times New Roman"/>
          <w:color w:val="000000"/>
        </w:rPr>
        <w:t xml:space="preserve"> publico mayormente del Instituto Mexicano del Seguro social, sin abarcar otros sis</w:t>
      </w:r>
      <w:r w:rsidRPr="007B4C00">
        <w:rPr>
          <w:rFonts w:ascii="Times New Roman" w:eastAsia="Arial" w:hAnsi="Times New Roman" w:cs="Times New Roman"/>
          <w:color w:val="000000"/>
        </w:rPr>
        <w:t>temas</w:t>
      </w:r>
      <w:r w:rsidR="002C5427" w:rsidRPr="007B4C00">
        <w:rPr>
          <w:rFonts w:ascii="Times New Roman" w:eastAsia="Arial" w:hAnsi="Times New Roman" w:cs="Times New Roman"/>
          <w:color w:val="000000"/>
        </w:rPr>
        <w:t xml:space="preserve"> de salubridad de </w:t>
      </w:r>
      <w:r w:rsidR="008127AD" w:rsidRPr="007B4C00">
        <w:rPr>
          <w:rFonts w:ascii="Times New Roman" w:eastAsia="Arial" w:hAnsi="Times New Roman" w:cs="Times New Roman"/>
          <w:color w:val="000000"/>
        </w:rPr>
        <w:t>atención</w:t>
      </w:r>
      <w:r w:rsidR="002C5427" w:rsidRPr="007B4C00">
        <w:rPr>
          <w:rFonts w:ascii="Times New Roman" w:eastAsia="Arial" w:hAnsi="Times New Roman" w:cs="Times New Roman"/>
          <w:color w:val="000000"/>
        </w:rPr>
        <w:t xml:space="preserve"> </w:t>
      </w:r>
      <w:proofErr w:type="spellStart"/>
      <w:r w:rsidR="00444D8C" w:rsidRPr="007B4C00">
        <w:rPr>
          <w:rFonts w:ascii="Times New Roman" w:eastAsia="Arial" w:hAnsi="Times New Roman" w:cs="Times New Roman"/>
          <w:color w:val="000000"/>
        </w:rPr>
        <w:t>publica</w:t>
      </w:r>
      <w:proofErr w:type="spellEnd"/>
      <w:r w:rsidR="00444D8C" w:rsidRPr="007B4C00">
        <w:rPr>
          <w:rFonts w:ascii="Times New Roman" w:eastAsia="Arial" w:hAnsi="Times New Roman" w:cs="Times New Roman"/>
          <w:color w:val="000000"/>
        </w:rPr>
        <w:t>,</w:t>
      </w:r>
      <w:r w:rsidR="002C5427" w:rsidRPr="007B4C00">
        <w:rPr>
          <w:rFonts w:ascii="Times New Roman" w:eastAsia="Arial" w:hAnsi="Times New Roman" w:cs="Times New Roman"/>
          <w:color w:val="000000"/>
        </w:rPr>
        <w:t xml:space="preserve"> </w:t>
      </w:r>
      <w:r w:rsidR="008127AD" w:rsidRPr="007B4C00">
        <w:rPr>
          <w:rFonts w:ascii="Times New Roman" w:eastAsia="Arial" w:hAnsi="Times New Roman" w:cs="Times New Roman"/>
          <w:color w:val="000000"/>
        </w:rPr>
        <w:t>así</w:t>
      </w:r>
      <w:r w:rsidR="002C5427" w:rsidRPr="007B4C00">
        <w:rPr>
          <w:rFonts w:ascii="Times New Roman" w:eastAsia="Arial" w:hAnsi="Times New Roman" w:cs="Times New Roman"/>
          <w:color w:val="000000"/>
        </w:rPr>
        <w:t xml:space="preserve"> como los de </w:t>
      </w:r>
      <w:r w:rsidR="008127AD" w:rsidRPr="007B4C00">
        <w:rPr>
          <w:rFonts w:ascii="Times New Roman" w:eastAsia="Arial" w:hAnsi="Times New Roman" w:cs="Times New Roman"/>
          <w:color w:val="000000"/>
        </w:rPr>
        <w:t>atención</w:t>
      </w:r>
      <w:r w:rsidR="002C5427" w:rsidRPr="007B4C00">
        <w:rPr>
          <w:rFonts w:ascii="Times New Roman" w:eastAsia="Arial" w:hAnsi="Times New Roman" w:cs="Times New Roman"/>
          <w:color w:val="000000"/>
        </w:rPr>
        <w:t xml:space="preserve"> privada. </w:t>
      </w:r>
      <w:r w:rsidRPr="007B4C00">
        <w:rPr>
          <w:rFonts w:ascii="Times New Roman" w:eastAsia="Arial" w:hAnsi="Times New Roman" w:cs="Times New Roman"/>
          <w:color w:val="000000"/>
        </w:rPr>
        <w:t>De igual ma</w:t>
      </w:r>
      <w:r w:rsidR="003F117D" w:rsidRPr="007B4C00">
        <w:rPr>
          <w:rFonts w:ascii="Times New Roman" w:eastAsia="Arial" w:hAnsi="Times New Roman" w:cs="Times New Roman"/>
          <w:color w:val="000000"/>
        </w:rPr>
        <w:t>nera sub</w:t>
      </w:r>
      <w:r w:rsidRPr="007B4C00">
        <w:rPr>
          <w:rFonts w:ascii="Times New Roman" w:eastAsia="Arial" w:hAnsi="Times New Roman" w:cs="Times New Roman"/>
          <w:color w:val="000000"/>
        </w:rPr>
        <w:t xml:space="preserve">estima la presencia de complicaciones asociados a dichas modalidades de </w:t>
      </w:r>
      <w:r w:rsidR="008127AD" w:rsidRPr="007B4C00">
        <w:rPr>
          <w:rFonts w:ascii="Times New Roman" w:eastAsia="Arial" w:hAnsi="Times New Roman" w:cs="Times New Roman"/>
          <w:color w:val="000000"/>
        </w:rPr>
        <w:t>sustitución</w:t>
      </w:r>
      <w:r w:rsidRPr="007B4C00">
        <w:rPr>
          <w:rFonts w:ascii="Times New Roman" w:eastAsia="Arial" w:hAnsi="Times New Roman" w:cs="Times New Roman"/>
          <w:color w:val="000000"/>
        </w:rPr>
        <w:t xml:space="preserve"> renal. </w:t>
      </w:r>
    </w:p>
    <w:p w14:paraId="3AF5A497" w14:textId="55AF07FC" w:rsidR="005D0901" w:rsidRPr="001D3B00" w:rsidRDefault="00592974" w:rsidP="0002304B">
      <w:pPr>
        <w:widowControl w:val="0"/>
        <w:tabs>
          <w:tab w:val="left" w:pos="523"/>
        </w:tabs>
        <w:autoSpaceDE w:val="0"/>
        <w:autoSpaceDN w:val="0"/>
        <w:spacing w:after="0" w:line="480" w:lineRule="auto"/>
        <w:jc w:val="both"/>
        <w:outlineLvl w:val="2"/>
        <w:rPr>
          <w:rFonts w:ascii="Times New Roman" w:eastAsia="Arial" w:hAnsi="Times New Roman" w:cs="Times New Roman"/>
          <w:color w:val="000000"/>
        </w:rPr>
      </w:pPr>
      <w:r w:rsidRPr="007B4C00">
        <w:rPr>
          <w:rFonts w:ascii="Times New Roman" w:eastAsia="Arial" w:hAnsi="Times New Roman" w:cs="Times New Roman"/>
          <w:color w:val="000000"/>
        </w:rPr>
        <w:t>El estudio actual se presenta como un de los pocos en su tipo realizados dentro del Instituto</w:t>
      </w:r>
      <w:r w:rsidR="003A5861" w:rsidRPr="007B4C00">
        <w:rPr>
          <w:rFonts w:ascii="Times New Roman" w:eastAsia="Arial" w:hAnsi="Times New Roman" w:cs="Times New Roman"/>
          <w:color w:val="000000"/>
        </w:rPr>
        <w:t xml:space="preserve">. </w:t>
      </w:r>
      <w:r w:rsidRPr="007B4C00">
        <w:rPr>
          <w:rFonts w:ascii="Times New Roman" w:eastAsia="Arial" w:hAnsi="Times New Roman" w:cs="Times New Roman"/>
          <w:color w:val="000000"/>
        </w:rPr>
        <w:t xml:space="preserve">La tasa de incidencia reportada en el presente estudio se </w:t>
      </w:r>
      <w:r w:rsidR="008127AD" w:rsidRPr="007B4C00">
        <w:rPr>
          <w:rFonts w:ascii="Times New Roman" w:eastAsia="Arial" w:hAnsi="Times New Roman" w:cs="Times New Roman"/>
          <w:color w:val="000000"/>
        </w:rPr>
        <w:t>encontró</w:t>
      </w:r>
      <w:r w:rsidRPr="007B4C00">
        <w:rPr>
          <w:rFonts w:ascii="Times New Roman" w:eastAsia="Arial" w:hAnsi="Times New Roman" w:cs="Times New Roman"/>
          <w:color w:val="000000"/>
        </w:rPr>
        <w:t xml:space="preserve"> </w:t>
      </w:r>
      <w:r w:rsidR="003F117D" w:rsidRPr="007B4C00">
        <w:rPr>
          <w:rFonts w:ascii="Times New Roman" w:eastAsia="Arial" w:hAnsi="Times New Roman" w:cs="Times New Roman"/>
          <w:color w:val="000000"/>
        </w:rPr>
        <w:t xml:space="preserve">una diferente a estudios de </w:t>
      </w:r>
      <w:r w:rsidR="00444D8C" w:rsidRPr="007B4C00">
        <w:rPr>
          <w:rFonts w:ascii="Times New Roman" w:eastAsia="Arial" w:hAnsi="Times New Roman" w:cs="Times New Roman"/>
          <w:color w:val="000000"/>
        </w:rPr>
        <w:t>características</w:t>
      </w:r>
      <w:r w:rsidR="003F117D" w:rsidRPr="007B4C00">
        <w:rPr>
          <w:rFonts w:ascii="Times New Roman" w:eastAsia="Arial" w:hAnsi="Times New Roman" w:cs="Times New Roman"/>
          <w:color w:val="000000"/>
        </w:rPr>
        <w:t xml:space="preserve"> similares,</w:t>
      </w:r>
      <w:r w:rsidR="001D3B00">
        <w:rPr>
          <w:rFonts w:ascii="Times New Roman" w:eastAsia="Arial" w:hAnsi="Times New Roman" w:cs="Times New Roman"/>
          <w:color w:val="000000"/>
        </w:rPr>
        <w:t xml:space="preserve"> </w:t>
      </w:r>
      <w:r w:rsidR="003F117D" w:rsidRPr="007B4C00">
        <w:rPr>
          <w:rFonts w:ascii="Times New Roman" w:eastAsia="Arial" w:hAnsi="Times New Roman" w:cs="Times New Roman"/>
          <w:color w:val="000000"/>
        </w:rPr>
        <w:t xml:space="preserve">el cual </w:t>
      </w:r>
      <w:r w:rsidR="00444D8C" w:rsidRPr="007B4C00">
        <w:rPr>
          <w:rFonts w:ascii="Times New Roman" w:eastAsia="Arial" w:hAnsi="Times New Roman" w:cs="Times New Roman"/>
          <w:color w:val="000000"/>
        </w:rPr>
        <w:t>interviene</w:t>
      </w:r>
      <w:r w:rsidR="003F117D" w:rsidRPr="007B4C00">
        <w:rPr>
          <w:rFonts w:ascii="Times New Roman" w:eastAsia="Arial" w:hAnsi="Times New Roman" w:cs="Times New Roman"/>
          <w:color w:val="000000"/>
        </w:rPr>
        <w:t xml:space="preserve"> </w:t>
      </w:r>
      <w:r w:rsidR="008127AD" w:rsidRPr="007B4C00">
        <w:rPr>
          <w:rFonts w:ascii="Times New Roman" w:eastAsia="Arial" w:hAnsi="Times New Roman" w:cs="Times New Roman"/>
          <w:color w:val="000000"/>
        </w:rPr>
        <w:t>múltiples</w:t>
      </w:r>
      <w:r w:rsidR="003F117D" w:rsidRPr="007B4C00">
        <w:rPr>
          <w:rFonts w:ascii="Times New Roman" w:eastAsia="Arial" w:hAnsi="Times New Roman" w:cs="Times New Roman"/>
          <w:color w:val="000000"/>
        </w:rPr>
        <w:t xml:space="preserve"> factores tanto </w:t>
      </w:r>
      <w:r w:rsidR="00444D8C" w:rsidRPr="007B4C00">
        <w:rPr>
          <w:rFonts w:ascii="Times New Roman" w:eastAsia="Arial" w:hAnsi="Times New Roman" w:cs="Times New Roman"/>
          <w:color w:val="000000"/>
        </w:rPr>
        <w:t>sociodemográficos</w:t>
      </w:r>
      <w:r w:rsidR="003F117D" w:rsidRPr="007B4C00">
        <w:rPr>
          <w:rFonts w:ascii="Times New Roman" w:eastAsia="Arial" w:hAnsi="Times New Roman" w:cs="Times New Roman"/>
          <w:color w:val="000000"/>
        </w:rPr>
        <w:t xml:space="preserve"> </w:t>
      </w:r>
      <w:r w:rsidR="00444D8C" w:rsidRPr="007B4C00">
        <w:rPr>
          <w:rFonts w:ascii="Times New Roman" w:eastAsia="Arial" w:hAnsi="Times New Roman" w:cs="Times New Roman"/>
          <w:color w:val="000000"/>
        </w:rPr>
        <w:t>así</w:t>
      </w:r>
      <w:r w:rsidR="003F117D" w:rsidRPr="007B4C00">
        <w:rPr>
          <w:rFonts w:ascii="Times New Roman" w:eastAsia="Arial" w:hAnsi="Times New Roman" w:cs="Times New Roman"/>
          <w:color w:val="000000"/>
        </w:rPr>
        <w:t xml:space="preserve"> como mismos institucionales para la </w:t>
      </w:r>
      <w:r w:rsidR="00444D8C" w:rsidRPr="007B4C00">
        <w:rPr>
          <w:rFonts w:ascii="Times New Roman" w:eastAsia="Arial" w:hAnsi="Times New Roman" w:cs="Times New Roman"/>
          <w:color w:val="000000"/>
        </w:rPr>
        <w:t>captación</w:t>
      </w:r>
      <w:r w:rsidR="003F117D" w:rsidRPr="007B4C00">
        <w:rPr>
          <w:rFonts w:ascii="Times New Roman" w:eastAsia="Arial" w:hAnsi="Times New Roman" w:cs="Times New Roman"/>
          <w:color w:val="000000"/>
        </w:rPr>
        <w:t xml:space="preserve">, seguimiento y </w:t>
      </w:r>
      <w:r w:rsidR="00444D8C" w:rsidRPr="007B4C00">
        <w:rPr>
          <w:rFonts w:ascii="Times New Roman" w:eastAsia="Arial" w:hAnsi="Times New Roman" w:cs="Times New Roman"/>
          <w:color w:val="000000"/>
        </w:rPr>
        <w:t>evaluación</w:t>
      </w:r>
      <w:r w:rsidR="003F117D" w:rsidRPr="007B4C00">
        <w:rPr>
          <w:rFonts w:ascii="Times New Roman" w:eastAsia="Arial" w:hAnsi="Times New Roman" w:cs="Times New Roman"/>
          <w:color w:val="000000"/>
        </w:rPr>
        <w:t xml:space="preserve"> adecuada de la </w:t>
      </w:r>
      <w:r w:rsidR="00444D8C" w:rsidRPr="007B4C00">
        <w:rPr>
          <w:rFonts w:ascii="Times New Roman" w:eastAsia="Arial" w:hAnsi="Times New Roman" w:cs="Times New Roman"/>
          <w:color w:val="000000"/>
        </w:rPr>
        <w:t>información</w:t>
      </w:r>
      <w:r w:rsidR="003F117D" w:rsidRPr="007B4C00">
        <w:rPr>
          <w:rFonts w:ascii="Times New Roman" w:eastAsia="Arial" w:hAnsi="Times New Roman" w:cs="Times New Roman"/>
          <w:color w:val="000000"/>
        </w:rPr>
        <w:t xml:space="preserve">, sin embargo se considera como un parteaguas para la </w:t>
      </w:r>
      <w:r w:rsidR="00444D8C" w:rsidRPr="007B4C00">
        <w:rPr>
          <w:rFonts w:ascii="Times New Roman" w:eastAsia="Arial" w:hAnsi="Times New Roman" w:cs="Times New Roman"/>
          <w:color w:val="000000"/>
        </w:rPr>
        <w:t>replicación</w:t>
      </w:r>
      <w:r w:rsidR="003F117D" w:rsidRPr="007B4C00">
        <w:rPr>
          <w:rFonts w:ascii="Times New Roman" w:eastAsia="Arial" w:hAnsi="Times New Roman" w:cs="Times New Roman"/>
          <w:color w:val="000000"/>
        </w:rPr>
        <w:t xml:space="preserve"> de este estudio: De igual manera durante esta </w:t>
      </w:r>
      <w:r w:rsidR="00444D8C" w:rsidRPr="007B4C00">
        <w:rPr>
          <w:rFonts w:ascii="Times New Roman" w:eastAsia="Arial" w:hAnsi="Times New Roman" w:cs="Times New Roman"/>
          <w:color w:val="000000"/>
        </w:rPr>
        <w:t>investigación</w:t>
      </w:r>
      <w:r w:rsidR="003F117D" w:rsidRPr="007B4C00">
        <w:rPr>
          <w:rFonts w:ascii="Times New Roman" w:eastAsia="Arial" w:hAnsi="Times New Roman" w:cs="Times New Roman"/>
          <w:color w:val="000000"/>
        </w:rPr>
        <w:t xml:space="preserve"> llama la </w:t>
      </w:r>
      <w:r w:rsidR="00444D8C" w:rsidRPr="007B4C00">
        <w:rPr>
          <w:rFonts w:ascii="Times New Roman" w:eastAsia="Arial" w:hAnsi="Times New Roman" w:cs="Times New Roman"/>
          <w:color w:val="000000"/>
        </w:rPr>
        <w:t>atención</w:t>
      </w:r>
      <w:r w:rsidR="003F117D" w:rsidRPr="007B4C00">
        <w:rPr>
          <w:rFonts w:ascii="Times New Roman" w:eastAsia="Arial" w:hAnsi="Times New Roman" w:cs="Times New Roman"/>
          <w:color w:val="000000"/>
        </w:rPr>
        <w:t xml:space="preserve"> la presencia de desencadenantes del proceso infeccioso a nivel peritoneal, el cual al no haber sido objeto de estudio, no se reportan pero no se descarta los factores asociado a dicho desarrollo </w:t>
      </w:r>
      <w:r w:rsidR="00B31122" w:rsidRPr="007B4C00">
        <w:rPr>
          <w:rFonts w:ascii="Times New Roman" w:eastAsia="Arial" w:hAnsi="Times New Roman" w:cs="Times New Roman"/>
          <w:color w:val="000000"/>
        </w:rPr>
        <w:t>patológico</w:t>
      </w:r>
      <w:r w:rsidR="003F117D" w:rsidRPr="007B4C00">
        <w:rPr>
          <w:rFonts w:ascii="Times New Roman" w:eastAsia="Arial" w:hAnsi="Times New Roman" w:cs="Times New Roman"/>
          <w:color w:val="000000"/>
        </w:rPr>
        <w:t xml:space="preserve">, donde la </w:t>
      </w:r>
      <w:r w:rsidR="00B31122" w:rsidRPr="007B4C00">
        <w:rPr>
          <w:rFonts w:ascii="Times New Roman" w:eastAsia="Arial" w:hAnsi="Times New Roman" w:cs="Times New Roman"/>
          <w:color w:val="000000"/>
        </w:rPr>
        <w:t>técnica</w:t>
      </w:r>
      <w:r w:rsidR="003F117D" w:rsidRPr="007B4C00">
        <w:rPr>
          <w:rFonts w:ascii="Times New Roman" w:eastAsia="Arial" w:hAnsi="Times New Roman" w:cs="Times New Roman"/>
          <w:color w:val="000000"/>
        </w:rPr>
        <w:t xml:space="preserve"> de </w:t>
      </w:r>
      <w:r w:rsidR="00FA722E">
        <w:rPr>
          <w:rFonts w:ascii="Times New Roman" w:eastAsia="Arial" w:hAnsi="Times New Roman" w:cs="Times New Roman"/>
          <w:color w:val="000000"/>
        </w:rPr>
        <w:t>colocación</w:t>
      </w:r>
      <w:r w:rsidR="003F117D" w:rsidRPr="007B4C00">
        <w:rPr>
          <w:rFonts w:ascii="Times New Roman" w:eastAsia="Arial" w:hAnsi="Times New Roman" w:cs="Times New Roman"/>
          <w:color w:val="000000"/>
        </w:rPr>
        <w:t xml:space="preserve"> a los dispositivos coadyuvantes a la terapia de </w:t>
      </w:r>
      <w:r w:rsidR="00B31122" w:rsidRPr="007B4C00">
        <w:rPr>
          <w:rFonts w:ascii="Times New Roman" w:eastAsia="Arial" w:hAnsi="Times New Roman" w:cs="Times New Roman"/>
          <w:color w:val="000000"/>
        </w:rPr>
        <w:t>sustitución</w:t>
      </w:r>
      <w:r w:rsidR="003F117D" w:rsidRPr="007B4C00">
        <w:rPr>
          <w:rFonts w:ascii="Times New Roman" w:eastAsia="Arial" w:hAnsi="Times New Roman" w:cs="Times New Roman"/>
          <w:color w:val="000000"/>
        </w:rPr>
        <w:t xml:space="preserve"> renal, tienden un factor fundamental. Por lo que igual manera se propone ante las autoridades correspondientes en el medio local como un inicio de </w:t>
      </w:r>
      <w:r w:rsidR="00B31122" w:rsidRPr="007B4C00">
        <w:rPr>
          <w:rFonts w:ascii="Times New Roman" w:eastAsia="Arial" w:hAnsi="Times New Roman" w:cs="Times New Roman"/>
          <w:color w:val="000000"/>
        </w:rPr>
        <w:t>múltiples</w:t>
      </w:r>
      <w:r w:rsidR="003F117D" w:rsidRPr="007B4C00">
        <w:rPr>
          <w:rFonts w:ascii="Times New Roman" w:eastAsia="Arial" w:hAnsi="Times New Roman" w:cs="Times New Roman"/>
          <w:color w:val="000000"/>
        </w:rPr>
        <w:t xml:space="preserve"> objetos de estudio </w:t>
      </w:r>
      <w:r w:rsidR="00B31122" w:rsidRPr="007B4C00">
        <w:rPr>
          <w:rFonts w:ascii="Times New Roman" w:eastAsia="Arial" w:hAnsi="Times New Roman" w:cs="Times New Roman"/>
          <w:color w:val="000000"/>
        </w:rPr>
        <w:t>epidemiológico</w:t>
      </w:r>
      <w:r w:rsidR="003F117D" w:rsidRPr="007B4C00">
        <w:rPr>
          <w:rFonts w:ascii="Times New Roman" w:eastAsia="Arial" w:hAnsi="Times New Roman" w:cs="Times New Roman"/>
          <w:color w:val="000000"/>
        </w:rPr>
        <w:t xml:space="preserve"> a seguir; Dicha importancia radica en el conocimiento de </w:t>
      </w:r>
      <w:r w:rsidR="00B31122" w:rsidRPr="007B4C00">
        <w:rPr>
          <w:rFonts w:ascii="Times New Roman" w:eastAsia="Arial" w:hAnsi="Times New Roman" w:cs="Times New Roman"/>
          <w:color w:val="000000"/>
        </w:rPr>
        <w:t>números</w:t>
      </w:r>
      <w:r w:rsidR="003F117D" w:rsidRPr="007B4C00">
        <w:rPr>
          <w:rFonts w:ascii="Times New Roman" w:eastAsia="Arial" w:hAnsi="Times New Roman" w:cs="Times New Roman"/>
          <w:color w:val="000000"/>
        </w:rPr>
        <w:t xml:space="preserve"> </w:t>
      </w:r>
      <w:r w:rsidR="00B31122" w:rsidRPr="007B4C00">
        <w:rPr>
          <w:rFonts w:ascii="Times New Roman" w:eastAsia="Arial" w:hAnsi="Times New Roman" w:cs="Times New Roman"/>
          <w:color w:val="000000"/>
        </w:rPr>
        <w:t>fidedignos</w:t>
      </w:r>
      <w:r w:rsidR="003F117D" w:rsidRPr="007B4C00">
        <w:rPr>
          <w:rFonts w:ascii="Times New Roman" w:eastAsia="Arial" w:hAnsi="Times New Roman" w:cs="Times New Roman"/>
          <w:color w:val="000000"/>
        </w:rPr>
        <w:t xml:space="preserve"> para la </w:t>
      </w:r>
      <w:r w:rsidR="00B31122" w:rsidRPr="007B4C00">
        <w:rPr>
          <w:rFonts w:ascii="Times New Roman" w:eastAsia="Arial" w:hAnsi="Times New Roman" w:cs="Times New Roman"/>
          <w:color w:val="000000"/>
        </w:rPr>
        <w:t>optimización</w:t>
      </w:r>
      <w:r w:rsidR="003F117D" w:rsidRPr="007B4C00">
        <w:rPr>
          <w:rFonts w:ascii="Times New Roman" w:eastAsia="Arial" w:hAnsi="Times New Roman" w:cs="Times New Roman"/>
          <w:color w:val="000000"/>
        </w:rPr>
        <w:t xml:space="preserve"> en gasto de </w:t>
      </w:r>
      <w:r w:rsidR="00B31122" w:rsidRPr="007B4C00">
        <w:rPr>
          <w:rFonts w:ascii="Times New Roman" w:eastAsia="Arial" w:hAnsi="Times New Roman" w:cs="Times New Roman"/>
          <w:color w:val="000000"/>
        </w:rPr>
        <w:t>atención</w:t>
      </w:r>
      <w:r w:rsidR="003F117D" w:rsidRPr="007B4C00">
        <w:rPr>
          <w:rFonts w:ascii="Times New Roman" w:eastAsia="Arial" w:hAnsi="Times New Roman" w:cs="Times New Roman"/>
          <w:color w:val="000000"/>
        </w:rPr>
        <w:t xml:space="preserve"> en </w:t>
      </w:r>
      <w:r w:rsidR="001A0BDC" w:rsidRPr="007B4C00">
        <w:rPr>
          <w:rFonts w:ascii="Times New Roman" w:eastAsia="Arial" w:hAnsi="Times New Roman" w:cs="Times New Roman"/>
          <w:color w:val="000000"/>
        </w:rPr>
        <w:t>salud,</w:t>
      </w:r>
      <w:r w:rsidR="003F117D" w:rsidRPr="007B4C00">
        <w:rPr>
          <w:rFonts w:ascii="Times New Roman" w:eastAsia="Arial" w:hAnsi="Times New Roman" w:cs="Times New Roman"/>
          <w:color w:val="000000"/>
        </w:rPr>
        <w:t xml:space="preserve"> </w:t>
      </w:r>
      <w:r w:rsidR="00B31122" w:rsidRPr="007B4C00">
        <w:rPr>
          <w:rFonts w:ascii="Times New Roman" w:eastAsia="Arial" w:hAnsi="Times New Roman" w:cs="Times New Roman"/>
          <w:color w:val="000000"/>
        </w:rPr>
        <w:t>así</w:t>
      </w:r>
      <w:r w:rsidR="003F117D" w:rsidRPr="007B4C00">
        <w:rPr>
          <w:rFonts w:ascii="Times New Roman" w:eastAsia="Arial" w:hAnsi="Times New Roman" w:cs="Times New Roman"/>
          <w:color w:val="000000"/>
        </w:rPr>
        <w:t xml:space="preserve"> como planes de </w:t>
      </w:r>
      <w:r w:rsidR="00B31122" w:rsidRPr="007B4C00">
        <w:rPr>
          <w:rFonts w:ascii="Times New Roman" w:eastAsia="Arial" w:hAnsi="Times New Roman" w:cs="Times New Roman"/>
          <w:color w:val="000000"/>
        </w:rPr>
        <w:t>atención</w:t>
      </w:r>
      <w:r w:rsidR="003F117D" w:rsidRPr="007B4C00">
        <w:rPr>
          <w:rFonts w:ascii="Times New Roman" w:eastAsia="Arial" w:hAnsi="Times New Roman" w:cs="Times New Roman"/>
          <w:color w:val="000000"/>
        </w:rPr>
        <w:t xml:space="preserve"> enfocados a la </w:t>
      </w:r>
      <w:r w:rsidR="00B31122" w:rsidRPr="007B4C00">
        <w:rPr>
          <w:rFonts w:ascii="Times New Roman" w:eastAsia="Arial" w:hAnsi="Times New Roman" w:cs="Times New Roman"/>
          <w:color w:val="000000"/>
        </w:rPr>
        <w:t>prevención</w:t>
      </w:r>
      <w:r w:rsidR="003F117D" w:rsidRPr="007B4C00">
        <w:rPr>
          <w:rFonts w:ascii="Times New Roman" w:eastAsia="Arial" w:hAnsi="Times New Roman" w:cs="Times New Roman"/>
          <w:color w:val="000000"/>
        </w:rPr>
        <w:t xml:space="preserve"> de eventos </w:t>
      </w:r>
      <w:r w:rsidR="00B31122" w:rsidRPr="007B4C00">
        <w:rPr>
          <w:rFonts w:ascii="Times New Roman" w:eastAsia="Arial" w:hAnsi="Times New Roman" w:cs="Times New Roman"/>
          <w:color w:val="000000"/>
        </w:rPr>
        <w:t>patológicos</w:t>
      </w:r>
      <w:r w:rsidR="003F117D" w:rsidRPr="007B4C00">
        <w:rPr>
          <w:rFonts w:ascii="Times New Roman" w:eastAsia="Arial" w:hAnsi="Times New Roman" w:cs="Times New Roman"/>
          <w:color w:val="000000"/>
        </w:rPr>
        <w:t xml:space="preserve">. </w:t>
      </w:r>
    </w:p>
    <w:p w14:paraId="44A50CAA" w14:textId="6E04367B" w:rsidR="00097B23" w:rsidRPr="00C05511" w:rsidRDefault="00F6543D" w:rsidP="00C05511">
      <w:pPr>
        <w:widowControl w:val="0"/>
        <w:autoSpaceDE w:val="0"/>
        <w:autoSpaceDN w:val="0"/>
        <w:spacing w:after="0" w:line="480" w:lineRule="auto"/>
        <w:ind w:left="652" w:hanging="652"/>
        <w:outlineLvl w:val="0"/>
        <w:rPr>
          <w:rFonts w:ascii="Times New Roman" w:eastAsia="Arial" w:hAnsi="Times New Roman" w:cs="Times New Roman"/>
          <w:b/>
          <w:bCs/>
          <w:noProof/>
          <w:kern w:val="0"/>
          <w:szCs w:val="24"/>
          <w:lang w:val="es-PY"/>
          <w14:ligatures w14:val="none"/>
        </w:rPr>
      </w:pPr>
      <w:r w:rsidRPr="007B4C00">
        <w:rPr>
          <w:rFonts w:ascii="Times New Roman" w:eastAsia="Arial" w:hAnsi="Times New Roman" w:cs="Times New Roman"/>
          <w:b/>
          <w:bCs/>
          <w:noProof/>
          <w:kern w:val="0"/>
          <w:szCs w:val="24"/>
          <w:lang w:val="es-PY"/>
          <w14:ligatures w14:val="none"/>
        </w:rPr>
        <w:t>REFERENCIAS</w:t>
      </w:r>
      <w:r w:rsidR="00C05511">
        <w:rPr>
          <w:rFonts w:ascii="Times New Roman" w:eastAsia="Arial" w:hAnsi="Times New Roman" w:cs="Times New Roman"/>
          <w:b/>
          <w:bCs/>
          <w:noProof/>
          <w:kern w:val="0"/>
          <w:szCs w:val="24"/>
          <w:lang w:val="es-PY"/>
          <w14:ligatures w14:val="none"/>
        </w:rPr>
        <w:t xml:space="preserve"> BIBLIOGRÁFICAS</w:t>
      </w:r>
    </w:p>
    <w:p w14:paraId="05CFF67A" w14:textId="591A3744" w:rsidR="009C6C71" w:rsidRPr="007B4C00" w:rsidRDefault="009C6C71" w:rsidP="000924AE">
      <w:pPr>
        <w:pStyle w:val="NormalWeb"/>
        <w:spacing w:before="0" w:beforeAutospacing="0" w:after="0" w:afterAutospacing="0" w:line="480" w:lineRule="auto"/>
        <w:ind w:left="1440" w:hanging="1440"/>
      </w:pPr>
      <w:r w:rsidRPr="007B4C00">
        <w:t xml:space="preserve">Aco-Luna, J. A., Solano, A., Saldaña, M. P., et al. (2019). Incidencia de peritonitis asociada a diálisis peritoneal en adultos en un hospital, Puebla, México. </w:t>
      </w:r>
      <w:r w:rsidRPr="007B4C00">
        <w:rPr>
          <w:rStyle w:val="nfasis"/>
          <w:rFonts w:eastAsiaTheme="majorEastAsia"/>
        </w:rPr>
        <w:t>Revista Científica de Ciencias Médicas, 22</w:t>
      </w:r>
      <w:r w:rsidRPr="007B4C00">
        <w:t>(1), 24-28.</w:t>
      </w:r>
    </w:p>
    <w:p w14:paraId="162F4951" w14:textId="3A5B9FCD" w:rsidR="009C6C71" w:rsidRPr="007B4C00" w:rsidRDefault="009C6C71" w:rsidP="000924AE">
      <w:pPr>
        <w:pStyle w:val="NormalWeb"/>
        <w:spacing w:before="0" w:beforeAutospacing="0" w:after="0" w:afterAutospacing="0" w:line="480" w:lineRule="auto"/>
        <w:ind w:left="1440" w:hanging="1440"/>
      </w:pPr>
      <w:proofErr w:type="spellStart"/>
      <w:r w:rsidRPr="007B4C00">
        <w:t>Afrashtehfar</w:t>
      </w:r>
      <w:proofErr w:type="spellEnd"/>
      <w:r w:rsidRPr="007B4C00">
        <w:t xml:space="preserve">, C. D. M., </w:t>
      </w:r>
      <w:proofErr w:type="spellStart"/>
      <w:r w:rsidRPr="007B4C00">
        <w:t>Mastache</w:t>
      </w:r>
      <w:proofErr w:type="spellEnd"/>
      <w:r w:rsidRPr="007B4C00">
        <w:t xml:space="preserve">, A., </w:t>
      </w:r>
      <w:proofErr w:type="spellStart"/>
      <w:r w:rsidRPr="007B4C00">
        <w:t>Afrashtehfar</w:t>
      </w:r>
      <w:proofErr w:type="spellEnd"/>
      <w:r w:rsidRPr="007B4C00">
        <w:t xml:space="preserve">, K. I., &amp; et al. (2014). Manifestaciones clínicas y bacteriológicas de la peritonitis asociada con la diálisis peritoneal. </w:t>
      </w:r>
      <w:r w:rsidRPr="007B4C00">
        <w:rPr>
          <w:rStyle w:val="nfasis"/>
          <w:rFonts w:eastAsiaTheme="majorEastAsia"/>
        </w:rPr>
        <w:t>Revista Médica del Instituto Mexicano del Seguro Social, 52</w:t>
      </w:r>
      <w:r w:rsidRPr="007B4C00">
        <w:t>(1), 84-89.</w:t>
      </w:r>
    </w:p>
    <w:p w14:paraId="2F1C553C" w14:textId="680E5070" w:rsidR="009C6C71" w:rsidRPr="007B4C00" w:rsidRDefault="009C6C71" w:rsidP="000924AE">
      <w:pPr>
        <w:pStyle w:val="NormalWeb"/>
        <w:spacing w:before="0" w:beforeAutospacing="0" w:after="0" w:afterAutospacing="0" w:line="480" w:lineRule="auto"/>
        <w:ind w:left="1440" w:hanging="1440"/>
      </w:pPr>
      <w:r w:rsidRPr="007B4C00">
        <w:lastRenderedPageBreak/>
        <w:t xml:space="preserve">Barbero, E., Tejeda, A., Junyent, E., &amp; et al. (2014). Factores de riesgo relacionados con el desarrollo de peritonitis en pacientes de diálisis peritoneal (DP). </w:t>
      </w:r>
      <w:r w:rsidRPr="007B4C00">
        <w:rPr>
          <w:rStyle w:val="nfasis"/>
          <w:rFonts w:eastAsiaTheme="majorEastAsia"/>
        </w:rPr>
        <w:t>Enfermería Nefrológica, 17</w:t>
      </w:r>
      <w:r w:rsidRPr="007B4C00">
        <w:t>(</w:t>
      </w:r>
      <w:proofErr w:type="spellStart"/>
      <w:r w:rsidRPr="007B4C00">
        <w:t>Suppl</w:t>
      </w:r>
      <w:proofErr w:type="spellEnd"/>
      <w:r w:rsidRPr="007B4C00">
        <w:t xml:space="preserve"> 1), 32-43.</w:t>
      </w:r>
    </w:p>
    <w:p w14:paraId="6CFEAA19" w14:textId="0830D825" w:rsidR="009C6C71" w:rsidRPr="007B4C00" w:rsidRDefault="009C6C71" w:rsidP="000924AE">
      <w:pPr>
        <w:pStyle w:val="NormalWeb"/>
        <w:spacing w:before="0" w:beforeAutospacing="0" w:after="0" w:afterAutospacing="0" w:line="480" w:lineRule="auto"/>
        <w:ind w:left="1440" w:hanging="1440"/>
      </w:pPr>
      <w:r w:rsidRPr="007B4C00">
        <w:t xml:space="preserve">Durán, E., Paredes, J. C., Rivera, C., &amp; Navarro Zarza, J. E. (2006). Peritonitis relacionada con diálisis peritoneal. </w:t>
      </w:r>
      <w:r w:rsidRPr="007B4C00">
        <w:rPr>
          <w:rStyle w:val="nfasis"/>
          <w:rFonts w:eastAsiaTheme="majorEastAsia"/>
        </w:rPr>
        <w:t>Medicina Internacional Mexicana, 22</w:t>
      </w:r>
      <w:r w:rsidRPr="007B4C00">
        <w:t>(4), 395-402.</w:t>
      </w:r>
    </w:p>
    <w:p w14:paraId="00D06FFB" w14:textId="54E0B5CB" w:rsidR="009C6C71" w:rsidRPr="007B4C00" w:rsidRDefault="009C6C71" w:rsidP="000924AE">
      <w:pPr>
        <w:pStyle w:val="NormalWeb"/>
        <w:spacing w:before="0" w:beforeAutospacing="0" w:after="0" w:afterAutospacing="0" w:line="480" w:lineRule="auto"/>
        <w:ind w:left="1440" w:hanging="1440"/>
      </w:pPr>
      <w:r w:rsidRPr="007B4C00">
        <w:t>Instituto Mexicano del Seguro Social. (2010). Diagnóstico y tratamiento de la peritonitis infecciosa en diálisis peritoneal crónica en adultos. IMSS.</w:t>
      </w:r>
    </w:p>
    <w:p w14:paraId="57649D11" w14:textId="4BAB08FC" w:rsidR="009C6C71" w:rsidRPr="007B4C00" w:rsidRDefault="009C6C71" w:rsidP="000924AE">
      <w:pPr>
        <w:pStyle w:val="NormalWeb"/>
        <w:spacing w:before="0" w:beforeAutospacing="0" w:after="0" w:afterAutospacing="0" w:line="480" w:lineRule="auto"/>
        <w:ind w:left="1440" w:hanging="1440"/>
      </w:pPr>
      <w:r w:rsidRPr="007B4C00">
        <w:t>Instituto Mexicano del Seguro Social. (2013). Intervenciones de enfermería en el manejo ambulatorio del adulto con terapia sustitutiva de la función renal - diálisis peritoneal. IMSS.</w:t>
      </w:r>
    </w:p>
    <w:p w14:paraId="49EA6773" w14:textId="7B847606" w:rsidR="009C6C71" w:rsidRPr="007B4C00" w:rsidRDefault="009C6C71" w:rsidP="000924AE">
      <w:pPr>
        <w:pStyle w:val="NormalWeb"/>
        <w:spacing w:before="0" w:beforeAutospacing="0" w:after="0" w:afterAutospacing="0" w:line="480" w:lineRule="auto"/>
        <w:ind w:left="1440" w:hanging="1440"/>
      </w:pPr>
      <w:r w:rsidRPr="007B4C00">
        <w:t xml:space="preserve">López, L. R., Baca, A., Guzmán, P. M., et al. (2017). Calidad de vida en hemodiálisis y diálisis peritoneal tras cuatro años de tratamiento. </w:t>
      </w:r>
      <w:r w:rsidRPr="007B4C00">
        <w:rPr>
          <w:rStyle w:val="nfasis"/>
          <w:rFonts w:eastAsiaTheme="majorEastAsia"/>
        </w:rPr>
        <w:t>Medicina Interna de México, 33</w:t>
      </w:r>
      <w:r w:rsidRPr="007B4C00">
        <w:t>(2), 177-184.</w:t>
      </w:r>
    </w:p>
    <w:p w14:paraId="408F76A7" w14:textId="23B0B327" w:rsidR="009C6C71" w:rsidRPr="007B4C00" w:rsidRDefault="009C6C71" w:rsidP="000924AE">
      <w:pPr>
        <w:pStyle w:val="NormalWeb"/>
        <w:spacing w:before="0" w:beforeAutospacing="0" w:after="0" w:afterAutospacing="0" w:line="480" w:lineRule="auto"/>
        <w:ind w:left="1440" w:hanging="1440"/>
      </w:pPr>
      <w:r w:rsidRPr="007B4C00">
        <w:t xml:space="preserve">Lynch, M. F. (2019). Peritonitis bacteriana secundaria a diálisis peritoneal. </w:t>
      </w:r>
      <w:r w:rsidRPr="007B4C00">
        <w:rPr>
          <w:rStyle w:val="nfasis"/>
          <w:rFonts w:eastAsiaTheme="majorEastAsia"/>
        </w:rPr>
        <w:t>Revista Medicina Legal de Costa Rica, 36</w:t>
      </w:r>
      <w:r w:rsidRPr="007B4C00">
        <w:t>(2), 108-114.</w:t>
      </w:r>
    </w:p>
    <w:p w14:paraId="5AC7B045" w14:textId="4CD59318" w:rsidR="009C6C71" w:rsidRPr="007B4C00" w:rsidRDefault="009C6C71" w:rsidP="000924AE">
      <w:pPr>
        <w:pStyle w:val="NormalWeb"/>
        <w:spacing w:before="0" w:beforeAutospacing="0" w:after="0" w:afterAutospacing="0" w:line="480" w:lineRule="auto"/>
        <w:ind w:left="1440" w:hanging="1440"/>
        <w:rPr>
          <w:lang w:val="pt-PT"/>
        </w:rPr>
      </w:pPr>
      <w:r w:rsidRPr="007B4C00">
        <w:t xml:space="preserve">Martínez-Flores, A. (2010). Incidencia de peritonitis en una cohorte de pacientes con insuficiencia renal tratados con diálisis peritoneal continua ambulatoria [Tesis de licenciatura, Universidad Veracruzana]. </w:t>
      </w:r>
      <w:hyperlink r:id="rId19" w:tgtFrame="_new" w:history="1">
        <w:r w:rsidRPr="007B4C00">
          <w:rPr>
            <w:rStyle w:val="Hipervnculo"/>
            <w:lang w:val="pt-PT"/>
          </w:rPr>
          <w:t>https://cdigital.uv.mx/handle/123456789/29817</w:t>
        </w:r>
      </w:hyperlink>
    </w:p>
    <w:p w14:paraId="39C22B79" w14:textId="3878D4D7" w:rsidR="009C6C71" w:rsidRPr="007B4C00" w:rsidRDefault="009C6C71" w:rsidP="000924AE">
      <w:pPr>
        <w:pStyle w:val="NormalWeb"/>
        <w:spacing w:before="0" w:beforeAutospacing="0" w:after="0" w:afterAutospacing="0" w:line="480" w:lineRule="auto"/>
        <w:ind w:left="1440" w:hanging="1440"/>
      </w:pPr>
      <w:r w:rsidRPr="007B4C00">
        <w:rPr>
          <w:lang w:val="pt-PT"/>
        </w:rPr>
        <w:t xml:space="preserve">Pérez, M., Moreiras, M., Prieto, M., et al. </w:t>
      </w:r>
      <w:r w:rsidRPr="007B4C00">
        <w:t xml:space="preserve">(2022). Guía clínica de la Sociedad Española de Nefrología para la prevención y tratamiento de la infección peritoneal en diálisis peritoneal. </w:t>
      </w:r>
      <w:r w:rsidRPr="007B4C00">
        <w:rPr>
          <w:rStyle w:val="nfasis"/>
          <w:rFonts w:eastAsiaTheme="majorEastAsia"/>
        </w:rPr>
        <w:t>Nefrología, 42</w:t>
      </w:r>
      <w:r w:rsidRPr="007B4C00">
        <w:t>(S1), 3-58.</w:t>
      </w:r>
    </w:p>
    <w:p w14:paraId="690A83B7" w14:textId="0E89FCC6" w:rsidR="009C6C71" w:rsidRPr="007B4C00" w:rsidRDefault="009C6C71" w:rsidP="000924AE">
      <w:pPr>
        <w:pStyle w:val="NormalWeb"/>
        <w:spacing w:before="0" w:beforeAutospacing="0" w:after="0" w:afterAutospacing="0" w:line="480" w:lineRule="auto"/>
        <w:ind w:left="1440" w:hanging="1440"/>
      </w:pPr>
      <w:proofErr w:type="spellStart"/>
      <w:r w:rsidRPr="000924AE">
        <w:rPr>
          <w:lang w:val="es-ES"/>
        </w:rPr>
        <w:t>Portolés</w:t>
      </w:r>
      <w:proofErr w:type="spellEnd"/>
      <w:r w:rsidRPr="000924AE">
        <w:rPr>
          <w:lang w:val="es-ES"/>
        </w:rPr>
        <w:t xml:space="preserve">, J., Janeiro, D., &amp; Montenegro, J. (2019, julio 23). </w:t>
      </w:r>
      <w:r w:rsidRPr="007B4C00">
        <w:t xml:space="preserve">Peritonitis e infecciones del catéter en la diálisis peritoneal. </w:t>
      </w:r>
      <w:r w:rsidRPr="007B4C00">
        <w:rPr>
          <w:rStyle w:val="nfasis"/>
          <w:rFonts w:eastAsiaTheme="majorEastAsia"/>
        </w:rPr>
        <w:t>Hospital Universitario Puerta de Hierro, Madrid</w:t>
      </w:r>
      <w:r w:rsidRPr="007B4C00">
        <w:t>.</w:t>
      </w:r>
    </w:p>
    <w:p w14:paraId="536BFD9D" w14:textId="5EB2E20A" w:rsidR="009C6C71" w:rsidRPr="007B4C00" w:rsidRDefault="009C6C71" w:rsidP="000924AE">
      <w:pPr>
        <w:pStyle w:val="NormalWeb"/>
        <w:spacing w:before="0" w:beforeAutospacing="0" w:after="0" w:afterAutospacing="0" w:line="480" w:lineRule="auto"/>
        <w:ind w:left="1440" w:hanging="1440"/>
      </w:pPr>
      <w:r w:rsidRPr="007B4C00">
        <w:lastRenderedPageBreak/>
        <w:t xml:space="preserve">Remón, C., Quirós, P. L., Gil, J. M., &amp; et al. (2010). Diez años de diálisis peritoneal en Andalucía (1999-2008): Datos epidemiológicos, tipos de tratamiento, peritonitis, comorbilidad y supervivencia de pacientes y técnica. </w:t>
      </w:r>
      <w:r w:rsidRPr="007B4C00">
        <w:rPr>
          <w:rStyle w:val="nfasis"/>
          <w:rFonts w:eastAsiaTheme="majorEastAsia"/>
        </w:rPr>
        <w:t>Nefrología, 30</w:t>
      </w:r>
      <w:r w:rsidRPr="007B4C00">
        <w:t>(1), 46-53.</w:t>
      </w:r>
    </w:p>
    <w:p w14:paraId="70ED4CB8" w14:textId="0F96769F" w:rsidR="009C6C71" w:rsidRPr="007B4C00" w:rsidRDefault="009C6C71" w:rsidP="000924AE">
      <w:pPr>
        <w:pStyle w:val="NormalWeb"/>
        <w:spacing w:before="0" w:beforeAutospacing="0" w:after="0" w:afterAutospacing="0" w:line="480" w:lineRule="auto"/>
        <w:ind w:left="1440" w:hanging="1440"/>
        <w:rPr>
          <w:lang w:val="en-US"/>
        </w:rPr>
      </w:pPr>
      <w:r w:rsidRPr="007B4C00">
        <w:t xml:space="preserve">San Juan, P., Pérez, A., &amp; Barrientos, C. (2018). Aspectos clínicos y microbiológicos de la peritonitis asociada a diálisis peritoneal en pacientes adultos con insuficiencia renal crónica en el Servicio de Urgencias. </w:t>
      </w:r>
      <w:proofErr w:type="spellStart"/>
      <w:r w:rsidRPr="007B4C00">
        <w:rPr>
          <w:rStyle w:val="nfasis"/>
          <w:rFonts w:eastAsiaTheme="majorEastAsia"/>
          <w:lang w:val="en-US"/>
        </w:rPr>
        <w:t>Revista</w:t>
      </w:r>
      <w:proofErr w:type="spellEnd"/>
      <w:r w:rsidRPr="007B4C00">
        <w:rPr>
          <w:rStyle w:val="nfasis"/>
          <w:rFonts w:eastAsiaTheme="majorEastAsia"/>
          <w:lang w:val="en-US"/>
        </w:rPr>
        <w:t xml:space="preserve"> </w:t>
      </w:r>
      <w:proofErr w:type="spellStart"/>
      <w:r w:rsidRPr="007B4C00">
        <w:rPr>
          <w:rStyle w:val="nfasis"/>
          <w:rFonts w:eastAsiaTheme="majorEastAsia"/>
          <w:lang w:val="en-US"/>
        </w:rPr>
        <w:t>Chilena</w:t>
      </w:r>
      <w:proofErr w:type="spellEnd"/>
      <w:r w:rsidRPr="007B4C00">
        <w:rPr>
          <w:rStyle w:val="nfasis"/>
          <w:rFonts w:eastAsiaTheme="majorEastAsia"/>
          <w:lang w:val="en-US"/>
        </w:rPr>
        <w:t xml:space="preserve"> de </w:t>
      </w:r>
      <w:proofErr w:type="spellStart"/>
      <w:r w:rsidRPr="007B4C00">
        <w:rPr>
          <w:rStyle w:val="nfasis"/>
          <w:rFonts w:eastAsiaTheme="majorEastAsia"/>
          <w:lang w:val="en-US"/>
        </w:rPr>
        <w:t>Infectología</w:t>
      </w:r>
      <w:proofErr w:type="spellEnd"/>
      <w:r w:rsidRPr="007B4C00">
        <w:rPr>
          <w:rStyle w:val="nfasis"/>
          <w:rFonts w:eastAsiaTheme="majorEastAsia"/>
          <w:lang w:val="en-US"/>
        </w:rPr>
        <w:t>, 35</w:t>
      </w:r>
      <w:r w:rsidRPr="007B4C00">
        <w:rPr>
          <w:lang w:val="en-US"/>
        </w:rPr>
        <w:t>(3), 225-232.</w:t>
      </w:r>
    </w:p>
    <w:p w14:paraId="5AA52322" w14:textId="1A517533" w:rsidR="009C6C71" w:rsidRPr="007B4C00" w:rsidRDefault="009C6C71" w:rsidP="000924AE">
      <w:pPr>
        <w:pStyle w:val="NormalWeb"/>
        <w:spacing w:before="0" w:beforeAutospacing="0" w:after="0" w:afterAutospacing="0" w:line="480" w:lineRule="auto"/>
        <w:ind w:left="1440" w:hanging="1440"/>
      </w:pPr>
      <w:r w:rsidRPr="007B4C00">
        <w:rPr>
          <w:lang w:val="en-US"/>
        </w:rPr>
        <w:t xml:space="preserve">Stuart, T., Booth, C., Charlotte, J., Cash, C., Ayshea, H., Antony, G., et al. (2009). Complications of continuous ambulatory peritoneal dialysis. </w:t>
      </w:r>
      <w:proofErr w:type="spellStart"/>
      <w:r w:rsidRPr="007B4C00">
        <w:rPr>
          <w:rStyle w:val="nfasis"/>
          <w:rFonts w:eastAsiaTheme="majorEastAsia"/>
        </w:rPr>
        <w:t>RadioGraphics</w:t>
      </w:r>
      <w:proofErr w:type="spellEnd"/>
      <w:r w:rsidRPr="007B4C00">
        <w:rPr>
          <w:rStyle w:val="nfasis"/>
          <w:rFonts w:eastAsiaTheme="majorEastAsia"/>
        </w:rPr>
        <w:t>, 29</w:t>
      </w:r>
      <w:r w:rsidRPr="007B4C00">
        <w:t xml:space="preserve">, 441-460. </w:t>
      </w:r>
      <w:hyperlink r:id="rId20" w:tgtFrame="_new" w:history="1">
        <w:r w:rsidRPr="007B4C00">
          <w:rPr>
            <w:rStyle w:val="Hipervnculo"/>
          </w:rPr>
          <w:t>https://doi.org/10.1148/rg.292085136</w:t>
        </w:r>
      </w:hyperlink>
    </w:p>
    <w:p w14:paraId="0C41A599" w14:textId="4209EB49" w:rsidR="009C6C71" w:rsidRPr="007B4C00" w:rsidRDefault="009C6C71" w:rsidP="000924AE">
      <w:pPr>
        <w:pStyle w:val="NormalWeb"/>
        <w:spacing w:before="0" w:beforeAutospacing="0" w:after="0" w:afterAutospacing="0" w:line="480" w:lineRule="auto"/>
        <w:ind w:left="1440" w:hanging="1440"/>
      </w:pPr>
      <w:r w:rsidRPr="007B4C00">
        <w:t xml:space="preserve">Torres, M., Granados, V., &amp; López, L. R. (2017). Carga de la enfermedad renal crónica en México. </w:t>
      </w:r>
      <w:r w:rsidRPr="007B4C00">
        <w:rPr>
          <w:rStyle w:val="nfasis"/>
          <w:rFonts w:eastAsiaTheme="majorEastAsia"/>
        </w:rPr>
        <w:t>Revista Médica del Instituto Mexicano del Seguro Social, 55</w:t>
      </w:r>
      <w:r w:rsidRPr="007B4C00">
        <w:t>(2), 118–123.</w:t>
      </w:r>
    </w:p>
    <w:p w14:paraId="6BCE7FF2" w14:textId="0016A955" w:rsidR="00F6543D" w:rsidRPr="00C05511" w:rsidRDefault="009C6C71" w:rsidP="000924AE">
      <w:pPr>
        <w:pStyle w:val="NormalWeb"/>
        <w:spacing w:before="0" w:beforeAutospacing="0" w:after="0" w:afterAutospacing="0" w:line="480" w:lineRule="auto"/>
        <w:ind w:left="1440" w:hanging="1440"/>
      </w:pPr>
      <w:r w:rsidRPr="007B4C00">
        <w:t>CENIDSP. (2022). La Enfermedad Renal Crónica en México. Instituto Nacional de Salud Pública.</w:t>
      </w:r>
    </w:p>
    <w:sectPr w:rsidR="00F6543D" w:rsidRPr="00C05511" w:rsidSect="000924AE">
      <w:footerReference w:type="default" r:id="rId21"/>
      <w:pgSz w:w="11906" w:h="16838" w:code="9"/>
      <w:pgMar w:top="1440" w:right="1440" w:bottom="1440" w:left="1440" w:header="283" w:footer="454" w:gutter="0"/>
      <w:pgNumType w:start="69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A7AA" w14:textId="77777777" w:rsidR="00FA5B88" w:rsidRDefault="00FA5B88" w:rsidP="00835BAB">
      <w:pPr>
        <w:spacing w:after="0" w:line="240" w:lineRule="auto"/>
      </w:pPr>
      <w:r>
        <w:separator/>
      </w:r>
    </w:p>
  </w:endnote>
  <w:endnote w:type="continuationSeparator" w:id="0">
    <w:p w14:paraId="271313BD" w14:textId="77777777" w:rsidR="00FA5B88" w:rsidRDefault="00FA5B88" w:rsidP="0083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FBA66" w14:textId="3B92ADBC" w:rsidR="00C86135" w:rsidRDefault="00C86135" w:rsidP="00C86135">
    <w:pPr>
      <w:pStyle w:val="Piedepgina"/>
      <w:jc w:val="center"/>
    </w:pPr>
    <w:r>
      <w:rPr>
        <w:noProof/>
      </w:rPr>
      <w:drawing>
        <wp:anchor distT="0" distB="0" distL="114300" distR="114300" simplePos="0" relativeHeight="251658752" behindDoc="1" locked="0" layoutInCell="1" allowOverlap="1" wp14:anchorId="7BE4ECEB" wp14:editId="1861EBDC">
          <wp:simplePos x="0" y="0"/>
          <wp:positionH relativeFrom="page">
            <wp:align>right</wp:align>
          </wp:positionH>
          <wp:positionV relativeFrom="paragraph">
            <wp:posOffset>-177800</wp:posOffset>
          </wp:positionV>
          <wp:extent cx="7560945" cy="996845"/>
          <wp:effectExtent l="0" t="0" r="1905" b="0"/>
          <wp:wrapNone/>
          <wp:docPr id="5972221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996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5BC">
      <w:rPr>
        <w:rFonts w:ascii="Times New Roman" w:hAnsi="Times New Roman" w:cs="Times New Roman"/>
        <w:szCs w:val="20"/>
        <w:lang w:val="es-ES"/>
      </w:rPr>
      <w:t xml:space="preserve">pág. </w:t>
    </w:r>
    <w:r w:rsidRPr="003235BC">
      <w:rPr>
        <w:rFonts w:ascii="Times New Roman" w:hAnsi="Times New Roman" w:cs="Times New Roman"/>
        <w:szCs w:val="20"/>
      </w:rPr>
      <w:fldChar w:fldCharType="begin"/>
    </w:r>
    <w:r w:rsidRPr="003235BC">
      <w:rPr>
        <w:rFonts w:ascii="Times New Roman" w:hAnsi="Times New Roman" w:cs="Times New Roman"/>
        <w:szCs w:val="20"/>
      </w:rPr>
      <w:instrText>PAGE  \* Arabic</w:instrText>
    </w:r>
    <w:r w:rsidRPr="003235BC">
      <w:rPr>
        <w:rFonts w:ascii="Times New Roman" w:hAnsi="Times New Roman" w:cs="Times New Roman"/>
        <w:szCs w:val="20"/>
      </w:rPr>
      <w:fldChar w:fldCharType="separate"/>
    </w:r>
    <w:r>
      <w:rPr>
        <w:rFonts w:ascii="Times New Roman" w:hAnsi="Times New Roman" w:cs="Times New Roman"/>
        <w:szCs w:val="20"/>
      </w:rPr>
      <w:t>1</w:t>
    </w:r>
    <w:r w:rsidRPr="003235BC">
      <w:rPr>
        <w:rFonts w:ascii="Times New Roman" w:hAnsi="Times New Roman" w:cs="Times New Roman"/>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9A5B2" w14:textId="77777777" w:rsidR="00FA5B88" w:rsidRDefault="00FA5B88" w:rsidP="00835BAB">
      <w:pPr>
        <w:spacing w:after="0" w:line="240" w:lineRule="auto"/>
      </w:pPr>
      <w:r>
        <w:separator/>
      </w:r>
    </w:p>
  </w:footnote>
  <w:footnote w:type="continuationSeparator" w:id="0">
    <w:p w14:paraId="0D7916E1" w14:textId="77777777" w:rsidR="00FA5B88" w:rsidRDefault="00FA5B88" w:rsidP="00835BAB">
      <w:pPr>
        <w:spacing w:after="0" w:line="240" w:lineRule="auto"/>
      </w:pPr>
      <w:r>
        <w:continuationSeparator/>
      </w:r>
    </w:p>
  </w:footnote>
  <w:footnote w:id="1">
    <w:p w14:paraId="429A677F" w14:textId="7D7D4166" w:rsidR="00F6543D" w:rsidRPr="008D666A" w:rsidRDefault="00F6543D" w:rsidP="00F6543D">
      <w:pPr>
        <w:pStyle w:val="Textonotapie"/>
        <w:rPr>
          <w:rFonts w:ascii="Times New Roman" w:hAnsi="Times New Roman" w:cs="Times New Roman"/>
          <w:sz w:val="18"/>
          <w:szCs w:val="18"/>
          <w:lang w:val="es-419"/>
        </w:rPr>
      </w:pPr>
      <w:r w:rsidRPr="008D666A">
        <w:rPr>
          <w:rStyle w:val="Refdenotaalpie"/>
          <w:rFonts w:ascii="Times New Roman" w:hAnsi="Times New Roman" w:cs="Times New Roman"/>
          <w:sz w:val="18"/>
          <w:szCs w:val="18"/>
        </w:rPr>
        <w:footnoteRef/>
      </w:r>
      <w:r w:rsidRPr="008D666A">
        <w:rPr>
          <w:rFonts w:ascii="Times New Roman" w:hAnsi="Times New Roman" w:cs="Times New Roman"/>
          <w:sz w:val="18"/>
          <w:szCs w:val="18"/>
        </w:rPr>
        <w:t xml:space="preserve"> </w:t>
      </w:r>
      <w:r w:rsidRPr="008D666A">
        <w:rPr>
          <w:rFonts w:ascii="Times New Roman" w:hAnsi="Times New Roman" w:cs="Times New Roman"/>
          <w:sz w:val="18"/>
          <w:szCs w:val="18"/>
          <w:lang w:val="es-419"/>
        </w:rPr>
        <w:t xml:space="preserve">Autor </w:t>
      </w:r>
      <w:r w:rsidR="008D666A">
        <w:rPr>
          <w:rFonts w:ascii="Times New Roman" w:hAnsi="Times New Roman" w:cs="Times New Roman"/>
          <w:sz w:val="18"/>
          <w:szCs w:val="18"/>
          <w:lang w:val="es-419"/>
        </w:rPr>
        <w:t>P</w:t>
      </w:r>
      <w:r w:rsidRPr="008D666A">
        <w:rPr>
          <w:rFonts w:ascii="Times New Roman" w:hAnsi="Times New Roman" w:cs="Times New Roman"/>
          <w:sz w:val="18"/>
          <w:szCs w:val="18"/>
          <w:lang w:val="es-419"/>
        </w:rPr>
        <w:t>rincipal</w:t>
      </w:r>
    </w:p>
    <w:p w14:paraId="38813B98" w14:textId="196A817D" w:rsidR="00F6543D" w:rsidRPr="008D666A" w:rsidRDefault="00F6543D" w:rsidP="008D666A">
      <w:pPr>
        <w:widowControl w:val="0"/>
        <w:autoSpaceDE w:val="0"/>
        <w:autoSpaceDN w:val="0"/>
        <w:spacing w:after="0" w:line="276" w:lineRule="auto"/>
        <w:rPr>
          <w:rFonts w:ascii="Times New Roman" w:eastAsia="Arial MT" w:hAnsi="Times New Roman" w:cs="Times New Roman"/>
          <w:noProof/>
          <w:color w:val="000000"/>
          <w:lang w:val="it-IT"/>
        </w:rPr>
      </w:pPr>
      <w:r w:rsidRPr="008D666A">
        <w:rPr>
          <w:rFonts w:ascii="Times New Roman" w:hAnsi="Times New Roman" w:cs="Times New Roman"/>
          <w:sz w:val="18"/>
          <w:szCs w:val="18"/>
          <w:lang w:val="es-419"/>
        </w:rPr>
        <w:t xml:space="preserve">Correspondencia: </w:t>
      </w:r>
      <w:hyperlink r:id="rId1" w:history="1">
        <w:r w:rsidR="008D666A" w:rsidRPr="008D666A">
          <w:rPr>
            <w:rStyle w:val="Hipervnculo"/>
            <w:rFonts w:ascii="Times New Roman" w:eastAsia="Arial MT" w:hAnsi="Times New Roman" w:cs="Times New Roman"/>
            <w:noProof/>
            <w:sz w:val="18"/>
            <w:szCs w:val="18"/>
            <w:lang w:val="it-IT"/>
          </w:rPr>
          <w:t>jdzulsuarez@gmail.com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86C35"/>
    <w:multiLevelType w:val="hybridMultilevel"/>
    <w:tmpl w:val="E146E3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E856FF"/>
    <w:multiLevelType w:val="hybridMultilevel"/>
    <w:tmpl w:val="FA0E8366"/>
    <w:lvl w:ilvl="0" w:tplc="E6D2A6E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B6274A"/>
    <w:multiLevelType w:val="hybridMultilevel"/>
    <w:tmpl w:val="DC16C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3902963">
    <w:abstractNumId w:val="0"/>
  </w:num>
  <w:num w:numId="2" w16cid:durableId="2105492890">
    <w:abstractNumId w:val="2"/>
  </w:num>
  <w:num w:numId="3" w16cid:durableId="71978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DA"/>
    <w:rsid w:val="0002304B"/>
    <w:rsid w:val="00026AA6"/>
    <w:rsid w:val="00086AF2"/>
    <w:rsid w:val="000924AE"/>
    <w:rsid w:val="00092603"/>
    <w:rsid w:val="00097B23"/>
    <w:rsid w:val="000A47B0"/>
    <w:rsid w:val="000B3AF6"/>
    <w:rsid w:val="000C5486"/>
    <w:rsid w:val="000E6F19"/>
    <w:rsid w:val="000F1E32"/>
    <w:rsid w:val="00142799"/>
    <w:rsid w:val="00165064"/>
    <w:rsid w:val="00192451"/>
    <w:rsid w:val="001A0BDC"/>
    <w:rsid w:val="001D3B00"/>
    <w:rsid w:val="001E1030"/>
    <w:rsid w:val="001E2659"/>
    <w:rsid w:val="002243C8"/>
    <w:rsid w:val="002919BE"/>
    <w:rsid w:val="00295AC0"/>
    <w:rsid w:val="002B3998"/>
    <w:rsid w:val="002B7E46"/>
    <w:rsid w:val="002C5427"/>
    <w:rsid w:val="002E1D96"/>
    <w:rsid w:val="002F641D"/>
    <w:rsid w:val="00303500"/>
    <w:rsid w:val="003479AE"/>
    <w:rsid w:val="003648AE"/>
    <w:rsid w:val="00372504"/>
    <w:rsid w:val="00374E79"/>
    <w:rsid w:val="003A5861"/>
    <w:rsid w:val="003E0E75"/>
    <w:rsid w:val="003E2B78"/>
    <w:rsid w:val="003F117D"/>
    <w:rsid w:val="003F308C"/>
    <w:rsid w:val="00402129"/>
    <w:rsid w:val="00425E56"/>
    <w:rsid w:val="00444D8C"/>
    <w:rsid w:val="00481A91"/>
    <w:rsid w:val="00482365"/>
    <w:rsid w:val="00592974"/>
    <w:rsid w:val="005937E4"/>
    <w:rsid w:val="005D0901"/>
    <w:rsid w:val="00611497"/>
    <w:rsid w:val="0061347F"/>
    <w:rsid w:val="006161A9"/>
    <w:rsid w:val="00646B84"/>
    <w:rsid w:val="007032F2"/>
    <w:rsid w:val="00746A38"/>
    <w:rsid w:val="007B4C00"/>
    <w:rsid w:val="007F371C"/>
    <w:rsid w:val="007F494F"/>
    <w:rsid w:val="008127AD"/>
    <w:rsid w:val="00835BAB"/>
    <w:rsid w:val="008A37FB"/>
    <w:rsid w:val="008B1166"/>
    <w:rsid w:val="008D666A"/>
    <w:rsid w:val="00914E89"/>
    <w:rsid w:val="0092560A"/>
    <w:rsid w:val="009361BF"/>
    <w:rsid w:val="009439B1"/>
    <w:rsid w:val="0095274E"/>
    <w:rsid w:val="0096782D"/>
    <w:rsid w:val="009925C5"/>
    <w:rsid w:val="009A01E4"/>
    <w:rsid w:val="009B535D"/>
    <w:rsid w:val="009C6C71"/>
    <w:rsid w:val="009E7077"/>
    <w:rsid w:val="00A20A4C"/>
    <w:rsid w:val="00A63A9C"/>
    <w:rsid w:val="00A753A9"/>
    <w:rsid w:val="00A84773"/>
    <w:rsid w:val="00AC3430"/>
    <w:rsid w:val="00AD41F4"/>
    <w:rsid w:val="00AF743E"/>
    <w:rsid w:val="00B31122"/>
    <w:rsid w:val="00B64FC6"/>
    <w:rsid w:val="00B941BB"/>
    <w:rsid w:val="00BE04B7"/>
    <w:rsid w:val="00C05511"/>
    <w:rsid w:val="00C6621A"/>
    <w:rsid w:val="00C7306D"/>
    <w:rsid w:val="00C86135"/>
    <w:rsid w:val="00CA32D8"/>
    <w:rsid w:val="00CC5E83"/>
    <w:rsid w:val="00CE3895"/>
    <w:rsid w:val="00CE6B71"/>
    <w:rsid w:val="00CF138B"/>
    <w:rsid w:val="00D43C1D"/>
    <w:rsid w:val="00D4484B"/>
    <w:rsid w:val="00D64B6F"/>
    <w:rsid w:val="00D85DDA"/>
    <w:rsid w:val="00D94707"/>
    <w:rsid w:val="00D97403"/>
    <w:rsid w:val="00E125CF"/>
    <w:rsid w:val="00E868F1"/>
    <w:rsid w:val="00E91663"/>
    <w:rsid w:val="00EA6CA3"/>
    <w:rsid w:val="00ED3D03"/>
    <w:rsid w:val="00ED72E1"/>
    <w:rsid w:val="00EE60ED"/>
    <w:rsid w:val="00F050E0"/>
    <w:rsid w:val="00F6543D"/>
    <w:rsid w:val="00F92C49"/>
    <w:rsid w:val="00FA5B88"/>
    <w:rsid w:val="00FA69E2"/>
    <w:rsid w:val="00FA722E"/>
    <w:rsid w:val="00FC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99DFC"/>
  <w15:docId w15:val="{A3916EA7-2943-4D38-99B2-D1E49F42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97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65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97403"/>
    <w:rPr>
      <w:rFonts w:asciiTheme="majorHAnsi" w:eastAsiaTheme="majorEastAsia" w:hAnsiTheme="majorHAnsi" w:cstheme="majorBidi"/>
      <w:color w:val="2F5496" w:themeColor="accent1" w:themeShade="BF"/>
      <w:sz w:val="32"/>
      <w:szCs w:val="32"/>
      <w:lang w:val="es-ES_tradnl"/>
    </w:rPr>
  </w:style>
  <w:style w:type="character" w:styleId="Textoennegrita">
    <w:name w:val="Strong"/>
    <w:basedOn w:val="Fuentedeprrafopredeter"/>
    <w:uiPriority w:val="22"/>
    <w:qFormat/>
    <w:rsid w:val="0096782D"/>
    <w:rPr>
      <w:b/>
      <w:bCs/>
    </w:rPr>
  </w:style>
  <w:style w:type="paragraph" w:styleId="Encabezado">
    <w:name w:val="header"/>
    <w:basedOn w:val="Normal"/>
    <w:link w:val="EncabezadoCar"/>
    <w:uiPriority w:val="99"/>
    <w:unhideWhenUsed/>
    <w:rsid w:val="00835BA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5BAB"/>
    <w:rPr>
      <w:lang w:val="es-ES_tradnl"/>
    </w:rPr>
  </w:style>
  <w:style w:type="paragraph" w:styleId="Piedepgina">
    <w:name w:val="footer"/>
    <w:basedOn w:val="Normal"/>
    <w:link w:val="PiedepginaCar"/>
    <w:uiPriority w:val="99"/>
    <w:unhideWhenUsed/>
    <w:rsid w:val="00835BA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5BAB"/>
    <w:rPr>
      <w:lang w:val="es-ES_tradnl"/>
    </w:rPr>
  </w:style>
  <w:style w:type="character" w:customStyle="1" w:styleId="Ttulo3Car">
    <w:name w:val="Título 3 Car"/>
    <w:basedOn w:val="Fuentedeprrafopredeter"/>
    <w:link w:val="Ttulo3"/>
    <w:uiPriority w:val="9"/>
    <w:semiHidden/>
    <w:rsid w:val="00F6543D"/>
    <w:rPr>
      <w:rFonts w:asciiTheme="majorHAnsi" w:eastAsiaTheme="majorEastAsia" w:hAnsiTheme="majorHAnsi" w:cstheme="majorBidi"/>
      <w:color w:val="1F3763" w:themeColor="accent1" w:themeShade="7F"/>
      <w:sz w:val="24"/>
      <w:szCs w:val="24"/>
      <w:lang w:val="es-ES_tradnl"/>
    </w:rPr>
  </w:style>
  <w:style w:type="table" w:customStyle="1" w:styleId="Tablaconcuadrcula1">
    <w:name w:val="Tabla con cuadrícula1"/>
    <w:basedOn w:val="Tablanormal"/>
    <w:next w:val="Tablaconcuadrcula"/>
    <w:uiPriority w:val="59"/>
    <w:rsid w:val="00F6543D"/>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6543D"/>
    <w:pPr>
      <w:widowControl w:val="0"/>
      <w:autoSpaceDE w:val="0"/>
      <w:autoSpaceDN w:val="0"/>
      <w:spacing w:after="0" w:line="240" w:lineRule="auto"/>
    </w:pPr>
    <w:rPr>
      <w:rFonts w:ascii="Arial MT" w:eastAsia="Arial MT" w:hAnsi="Arial MT" w:cs="Arial MT"/>
      <w:noProof/>
      <w:kern w:val="0"/>
      <w:sz w:val="20"/>
      <w:szCs w:val="20"/>
      <w:lang w:val="es-PY"/>
      <w14:ligatures w14:val="none"/>
    </w:rPr>
  </w:style>
  <w:style w:type="character" w:customStyle="1" w:styleId="TextonotapieCar">
    <w:name w:val="Texto nota pie Car"/>
    <w:basedOn w:val="Fuentedeprrafopredeter"/>
    <w:link w:val="Textonotapie"/>
    <w:uiPriority w:val="99"/>
    <w:semiHidden/>
    <w:rsid w:val="00F6543D"/>
    <w:rPr>
      <w:rFonts w:ascii="Arial MT" w:eastAsia="Arial MT" w:hAnsi="Arial MT" w:cs="Arial MT"/>
      <w:noProof/>
      <w:kern w:val="0"/>
      <w:sz w:val="20"/>
      <w:szCs w:val="20"/>
      <w:lang w:val="es-PY"/>
      <w14:ligatures w14:val="none"/>
    </w:rPr>
  </w:style>
  <w:style w:type="character" w:styleId="Refdenotaalpie">
    <w:name w:val="footnote reference"/>
    <w:basedOn w:val="Fuentedeprrafopredeter"/>
    <w:uiPriority w:val="99"/>
    <w:semiHidden/>
    <w:unhideWhenUsed/>
    <w:rsid w:val="00F6543D"/>
    <w:rPr>
      <w:vertAlign w:val="superscript"/>
    </w:rPr>
  </w:style>
  <w:style w:type="character" w:styleId="Hipervnculo">
    <w:name w:val="Hyperlink"/>
    <w:uiPriority w:val="99"/>
    <w:unhideWhenUsed/>
    <w:rsid w:val="00F6543D"/>
    <w:rPr>
      <w:color w:val="0000FF"/>
      <w:u w:val="single"/>
    </w:rPr>
  </w:style>
  <w:style w:type="paragraph" w:styleId="TDC1">
    <w:name w:val="toc 1"/>
    <w:basedOn w:val="Normal"/>
    <w:next w:val="Normal"/>
    <w:autoRedefine/>
    <w:uiPriority w:val="39"/>
    <w:unhideWhenUsed/>
    <w:rsid w:val="00425E56"/>
    <w:pPr>
      <w:spacing w:after="0" w:line="276" w:lineRule="auto"/>
    </w:pPr>
    <w:rPr>
      <w:rFonts w:ascii="Times New Roman" w:hAnsi="Times New Roman" w:cs="Times New Roman"/>
      <w:b/>
      <w:bCs/>
      <w:noProof/>
      <w:sz w:val="28"/>
      <w:szCs w:val="28"/>
      <w:lang w:val="es-PY" w:eastAsia="es-PY"/>
    </w:rPr>
  </w:style>
  <w:style w:type="paragraph" w:styleId="HTMLconformatoprevio">
    <w:name w:val="HTML Preformatted"/>
    <w:basedOn w:val="Normal"/>
    <w:link w:val="HTMLconformatoprevioCar"/>
    <w:uiPriority w:val="99"/>
    <w:semiHidden/>
    <w:unhideWhenUsed/>
    <w:rsid w:val="0036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s-MX" w:eastAsia="es-MX"/>
      <w14:ligatures w14:val="none"/>
    </w:rPr>
  </w:style>
  <w:style w:type="character" w:customStyle="1" w:styleId="HTMLconformatoprevioCar">
    <w:name w:val="HTML con formato previo Car"/>
    <w:basedOn w:val="Fuentedeprrafopredeter"/>
    <w:link w:val="HTMLconformatoprevio"/>
    <w:uiPriority w:val="99"/>
    <w:semiHidden/>
    <w:rsid w:val="003648AE"/>
    <w:rPr>
      <w:rFonts w:ascii="Courier New" w:eastAsia="Times New Roman" w:hAnsi="Courier New" w:cs="Courier New"/>
      <w:kern w:val="0"/>
      <w:sz w:val="20"/>
      <w:szCs w:val="20"/>
      <w:lang w:val="es-MX" w:eastAsia="es-MX"/>
      <w14:ligatures w14:val="none"/>
    </w:rPr>
  </w:style>
  <w:style w:type="character" w:customStyle="1" w:styleId="y2iqfc">
    <w:name w:val="y2iqfc"/>
    <w:basedOn w:val="Fuentedeprrafopredeter"/>
    <w:rsid w:val="003648AE"/>
  </w:style>
  <w:style w:type="paragraph" w:styleId="NormalWeb">
    <w:name w:val="Normal (Web)"/>
    <w:basedOn w:val="Normal"/>
    <w:uiPriority w:val="99"/>
    <w:unhideWhenUsed/>
    <w:rsid w:val="00097B23"/>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character" w:styleId="nfasis">
    <w:name w:val="Emphasis"/>
    <w:basedOn w:val="Fuentedeprrafopredeter"/>
    <w:uiPriority w:val="20"/>
    <w:qFormat/>
    <w:rsid w:val="00097B23"/>
    <w:rPr>
      <w:i/>
      <w:iCs/>
    </w:rPr>
  </w:style>
  <w:style w:type="paragraph" w:styleId="Textodeglobo">
    <w:name w:val="Balloon Text"/>
    <w:basedOn w:val="Normal"/>
    <w:link w:val="TextodegloboCar"/>
    <w:uiPriority w:val="99"/>
    <w:semiHidden/>
    <w:unhideWhenUsed/>
    <w:rsid w:val="00A63A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A9C"/>
    <w:rPr>
      <w:rFonts w:ascii="Tahoma" w:hAnsi="Tahoma" w:cs="Tahoma"/>
      <w:sz w:val="16"/>
      <w:szCs w:val="16"/>
      <w:lang w:val="es-ES_tradnl"/>
    </w:rPr>
  </w:style>
  <w:style w:type="character" w:styleId="Mencinsinresolver">
    <w:name w:val="Unresolved Mention"/>
    <w:basedOn w:val="Fuentedeprrafopredeter"/>
    <w:uiPriority w:val="99"/>
    <w:semiHidden/>
    <w:unhideWhenUsed/>
    <w:rsid w:val="007B4C00"/>
    <w:rPr>
      <w:color w:val="605E5C"/>
      <w:shd w:val="clear" w:color="auto" w:fill="E1DFDD"/>
    </w:rPr>
  </w:style>
  <w:style w:type="paragraph" w:styleId="Sinespaciado">
    <w:name w:val="No Spacing"/>
    <w:link w:val="SinespaciadoCar"/>
    <w:uiPriority w:val="1"/>
    <w:qFormat/>
    <w:rsid w:val="00C7306D"/>
    <w:pPr>
      <w:spacing w:after="0" w:line="240" w:lineRule="auto"/>
    </w:pPr>
    <w:rPr>
      <w:rFonts w:eastAsiaTheme="minorEastAsia"/>
      <w:kern w:val="0"/>
      <w:lang w:val="es-ES" w:eastAsia="es-ES"/>
      <w14:ligatures w14:val="none"/>
    </w:rPr>
  </w:style>
  <w:style w:type="character" w:customStyle="1" w:styleId="SinespaciadoCar">
    <w:name w:val="Sin espaciado Car"/>
    <w:basedOn w:val="Fuentedeprrafopredeter"/>
    <w:link w:val="Sinespaciado"/>
    <w:uiPriority w:val="1"/>
    <w:rsid w:val="00C7306D"/>
    <w:rPr>
      <w:rFonts w:eastAsiaTheme="minorEastAsia"/>
      <w:kern w:val="0"/>
      <w:lang w:val="es-ES" w:eastAsia="es-ES"/>
      <w14:ligatures w14:val="none"/>
    </w:rPr>
  </w:style>
  <w:style w:type="paragraph" w:customStyle="1" w:styleId="TableParagraph">
    <w:name w:val="Table Paragraph"/>
    <w:basedOn w:val="Normal"/>
    <w:uiPriority w:val="1"/>
    <w:qFormat/>
    <w:rsid w:val="00C7306D"/>
    <w:pPr>
      <w:widowControl w:val="0"/>
      <w:spacing w:before="49" w:line="248" w:lineRule="exact"/>
      <w:jc w:val="center"/>
    </w:pPr>
    <w:rPr>
      <w:rFonts w:eastAsiaTheme="minorEastAsi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807609">
      <w:bodyDiv w:val="1"/>
      <w:marLeft w:val="0"/>
      <w:marRight w:val="0"/>
      <w:marTop w:val="0"/>
      <w:marBottom w:val="0"/>
      <w:divBdr>
        <w:top w:val="none" w:sz="0" w:space="0" w:color="auto"/>
        <w:left w:val="none" w:sz="0" w:space="0" w:color="auto"/>
        <w:bottom w:val="none" w:sz="0" w:space="0" w:color="auto"/>
        <w:right w:val="none" w:sz="0" w:space="0" w:color="auto"/>
      </w:divBdr>
    </w:div>
    <w:div w:id="1120610818">
      <w:bodyDiv w:val="1"/>
      <w:marLeft w:val="0"/>
      <w:marRight w:val="0"/>
      <w:marTop w:val="0"/>
      <w:marBottom w:val="0"/>
      <w:divBdr>
        <w:top w:val="none" w:sz="0" w:space="0" w:color="auto"/>
        <w:left w:val="none" w:sz="0" w:space="0" w:color="auto"/>
        <w:bottom w:val="none" w:sz="0" w:space="0" w:color="auto"/>
        <w:right w:val="none" w:sz="0" w:space="0" w:color="auto"/>
      </w:divBdr>
    </w:div>
    <w:div w:id="1332609789">
      <w:bodyDiv w:val="1"/>
      <w:marLeft w:val="0"/>
      <w:marRight w:val="0"/>
      <w:marTop w:val="0"/>
      <w:marBottom w:val="0"/>
      <w:divBdr>
        <w:top w:val="none" w:sz="0" w:space="0" w:color="auto"/>
        <w:left w:val="none" w:sz="0" w:space="0" w:color="auto"/>
        <w:bottom w:val="none" w:sz="0" w:space="0" w:color="auto"/>
        <w:right w:val="none" w:sz="0" w:space="0" w:color="auto"/>
      </w:divBdr>
    </w:div>
    <w:div w:id="1790902430">
      <w:bodyDiv w:val="1"/>
      <w:marLeft w:val="0"/>
      <w:marRight w:val="0"/>
      <w:marTop w:val="0"/>
      <w:marBottom w:val="0"/>
      <w:divBdr>
        <w:top w:val="none" w:sz="0" w:space="0" w:color="auto"/>
        <w:left w:val="none" w:sz="0" w:space="0" w:color="auto"/>
        <w:bottom w:val="none" w:sz="0" w:space="0" w:color="auto"/>
        <w:right w:val="none" w:sz="0" w:space="0" w:color="auto"/>
      </w:divBdr>
    </w:div>
    <w:div w:id="1867062473">
      <w:bodyDiv w:val="1"/>
      <w:marLeft w:val="0"/>
      <w:marRight w:val="0"/>
      <w:marTop w:val="0"/>
      <w:marBottom w:val="0"/>
      <w:divBdr>
        <w:top w:val="none" w:sz="0" w:space="0" w:color="auto"/>
        <w:left w:val="none" w:sz="0" w:space="0" w:color="auto"/>
        <w:bottom w:val="none" w:sz="0" w:space="0" w:color="auto"/>
        <w:right w:val="none" w:sz="0" w:space="0" w:color="auto"/>
      </w:divBdr>
    </w:div>
    <w:div w:id="18690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vt.hernandez115@gmail.com"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orcid.org/0009-0006-6240-1864"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orcid.org/0009-0005-0114-8722" TargetMode="External"/><Relationship Id="rId20" Type="http://schemas.openxmlformats.org/officeDocument/2006/relationships/hyperlink" Target="https://doi.org/10.1148/rg.2920851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zulsuarez@gmail.com" TargetMode="External"/><Relationship Id="rId5" Type="http://schemas.openxmlformats.org/officeDocument/2006/relationships/footnotes" Target="footnotes.xml"/><Relationship Id="rId15" Type="http://schemas.openxmlformats.org/officeDocument/2006/relationships/hyperlink" Target="mailto:lavz314@gmail.com" TargetMode="External"/><Relationship Id="rId23" Type="http://schemas.openxmlformats.org/officeDocument/2006/relationships/theme" Target="theme/theme1.xml"/><Relationship Id="rId10" Type="http://schemas.openxmlformats.org/officeDocument/2006/relationships/hyperlink" Target="https://doi.org/10.37811/cl_rcm.v9i1.16377" TargetMode="External"/><Relationship Id="rId19" Type="http://schemas.openxmlformats.org/officeDocument/2006/relationships/hyperlink" Target="https://cdigital.uv.mx/handle/123456789/29817"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orcid.org/0000-0002-1574-251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mailto:jdzulsuarez@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DANIEL%20DZUL\Desktop\PROTOCOLO%20BUENO\Nueva%20carpeta\BASE%20DE%20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20DANIEL%20DZUL\Desktop\PROTOCOLO%20BUENO\Nueva%20carpeta\BASE%20DE%20DAT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Distribucion por genero</a:t>
            </a:r>
          </a:p>
        </c:rich>
      </c:tx>
      <c:layout>
        <c:manualLayout>
          <c:xMode val="edge"/>
          <c:yMode val="edge"/>
          <c:x val="0.35690266841644797"/>
          <c:y val="3.74882849109653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C695-42DF-911B-7DF15987A94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'CONCENTRADO FINAL'!$N$39:$N$40</c:f>
              <c:strCache>
                <c:ptCount val="2"/>
                <c:pt idx="0">
                  <c:v>Femenino</c:v>
                </c:pt>
                <c:pt idx="1">
                  <c:v>Masculino</c:v>
                </c:pt>
              </c:strCache>
            </c:strRef>
          </c:cat>
          <c:val>
            <c:numRef>
              <c:f>'CONCENTRADO FINAL'!$O$39:$O$40</c:f>
              <c:numCache>
                <c:formatCode>General</c:formatCode>
                <c:ptCount val="2"/>
                <c:pt idx="0">
                  <c:v>9</c:v>
                </c:pt>
                <c:pt idx="1">
                  <c:v>13</c:v>
                </c:pt>
              </c:numCache>
            </c:numRef>
          </c:val>
          <c:extLst>
            <c:ext xmlns:c16="http://schemas.microsoft.com/office/drawing/2014/chart" uri="{C3380CC4-5D6E-409C-BE32-E72D297353CC}">
              <c16:uniqueId val="{00000002-C695-42DF-911B-7DF15987A948}"/>
            </c:ext>
          </c:extLst>
        </c:ser>
        <c:dLbls>
          <c:dLblPos val="inEnd"/>
          <c:showLegendKey val="0"/>
          <c:showVal val="1"/>
          <c:showCatName val="0"/>
          <c:showSerName val="0"/>
          <c:showPercent val="0"/>
          <c:showBubbleSize val="0"/>
        </c:dLbls>
        <c:gapWidth val="219"/>
        <c:overlap val="-27"/>
        <c:axId val="176936832"/>
        <c:axId val="178887680"/>
      </c:barChart>
      <c:catAx>
        <c:axId val="17693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78887680"/>
        <c:crosses val="autoZero"/>
        <c:auto val="1"/>
        <c:lblAlgn val="ctr"/>
        <c:lblOffset val="100"/>
        <c:noMultiLvlLbl val="0"/>
      </c:catAx>
      <c:valAx>
        <c:axId val="17888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7693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Rango de edad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yVal>
            <c:numRef>
              <c:f>'CONCENTRADO FINAL'!$O$9:$O$30</c:f>
              <c:numCache>
                <c:formatCode>General</c:formatCode>
                <c:ptCount val="22"/>
                <c:pt idx="0">
                  <c:v>31</c:v>
                </c:pt>
                <c:pt idx="1">
                  <c:v>20</c:v>
                </c:pt>
                <c:pt idx="2">
                  <c:v>69</c:v>
                </c:pt>
                <c:pt idx="3">
                  <c:v>47</c:v>
                </c:pt>
                <c:pt idx="4">
                  <c:v>46</c:v>
                </c:pt>
                <c:pt idx="5">
                  <c:v>50</c:v>
                </c:pt>
                <c:pt idx="6">
                  <c:v>60</c:v>
                </c:pt>
                <c:pt idx="7">
                  <c:v>53</c:v>
                </c:pt>
                <c:pt idx="8">
                  <c:v>45</c:v>
                </c:pt>
                <c:pt idx="9">
                  <c:v>27</c:v>
                </c:pt>
                <c:pt idx="10">
                  <c:v>38</c:v>
                </c:pt>
                <c:pt idx="11">
                  <c:v>21</c:v>
                </c:pt>
                <c:pt idx="12">
                  <c:v>62</c:v>
                </c:pt>
                <c:pt idx="13">
                  <c:v>56</c:v>
                </c:pt>
                <c:pt idx="14">
                  <c:v>61</c:v>
                </c:pt>
                <c:pt idx="15">
                  <c:v>56</c:v>
                </c:pt>
                <c:pt idx="16">
                  <c:v>32</c:v>
                </c:pt>
                <c:pt idx="17">
                  <c:v>62</c:v>
                </c:pt>
                <c:pt idx="18">
                  <c:v>53</c:v>
                </c:pt>
                <c:pt idx="19">
                  <c:v>52</c:v>
                </c:pt>
                <c:pt idx="20">
                  <c:v>63</c:v>
                </c:pt>
                <c:pt idx="21">
                  <c:v>60</c:v>
                </c:pt>
              </c:numCache>
            </c:numRef>
          </c:yVal>
          <c:smooth val="0"/>
          <c:extLst>
            <c:ext xmlns:c16="http://schemas.microsoft.com/office/drawing/2014/chart" uri="{C3380CC4-5D6E-409C-BE32-E72D297353CC}">
              <c16:uniqueId val="{00000000-AD64-4F59-82D4-9F0B4B5B3558}"/>
            </c:ext>
          </c:extLst>
        </c:ser>
        <c:dLbls>
          <c:showLegendKey val="0"/>
          <c:showVal val="0"/>
          <c:showCatName val="0"/>
          <c:showSerName val="0"/>
          <c:showPercent val="0"/>
          <c:showBubbleSize val="0"/>
        </c:dLbls>
        <c:axId val="179588096"/>
        <c:axId val="179598464"/>
      </c:scatterChart>
      <c:valAx>
        <c:axId val="17958809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79598464"/>
        <c:crosses val="autoZero"/>
        <c:crossBetween val="midCat"/>
      </c:valAx>
      <c:valAx>
        <c:axId val="17959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795880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12</Pages>
  <Words>3465</Words>
  <Characters>19059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monges</dc:creator>
  <cp:keywords/>
  <dc:description/>
  <cp:lastModifiedBy>Eider Sadan Aquino Bourdier</cp:lastModifiedBy>
  <cp:revision>55</cp:revision>
  <cp:lastPrinted>2023-04-19T13:46:00Z</cp:lastPrinted>
  <dcterms:created xsi:type="dcterms:W3CDTF">2025-02-19T18:04:00Z</dcterms:created>
  <dcterms:modified xsi:type="dcterms:W3CDTF">2025-03-01T01:13:00Z</dcterms:modified>
</cp:coreProperties>
</file>