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bottomFromText="160" w:vertAnchor="text" w:horzAnchor="margin" w:tblpY="4416"/>
        <w:tblW w:w="9061" w:type="dxa"/>
        <w:tblLook w:val="04A0" w:firstRow="1" w:lastRow="0" w:firstColumn="1" w:lastColumn="0" w:noHBand="0" w:noVBand="1"/>
      </w:tblPr>
      <w:tblGrid>
        <w:gridCol w:w="9061"/>
      </w:tblGrid>
      <w:tr w:rsidR="002F6471" w14:paraId="0095BB0B" w14:textId="77777777" w:rsidTr="000C6DEF">
        <w:trPr>
          <w:trHeight w:val="1279"/>
        </w:trPr>
        <w:tc>
          <w:tcPr>
            <w:tcW w:w="9061" w:type="dxa"/>
            <w:hideMark/>
          </w:tcPr>
          <w:p w14:paraId="3191EBF0" w14:textId="62378143" w:rsidR="002F6471" w:rsidRDefault="00D947B5" w:rsidP="000C6DEF">
            <w:pPr>
              <w:spacing w:after="0" w:line="240" w:lineRule="auto"/>
              <w:jc w:val="center"/>
              <w:rPr>
                <w:rFonts w:ascii="Times New Roman" w:hAnsi="Times New Roman"/>
                <w:b/>
                <w:bCs/>
                <w:color w:val="FFFFFF"/>
                <w:sz w:val="36"/>
                <w:szCs w:val="34"/>
              </w:rPr>
            </w:pPr>
            <w:bookmarkStart w:id="0" w:name="_Hlk214405123"/>
            <w:r w:rsidRPr="00D947B5">
              <w:rPr>
                <w:rFonts w:ascii="Times New Roman" w:hAnsi="Times New Roman"/>
                <w:b/>
                <w:bCs/>
                <w:color w:val="FFFFFF"/>
                <w:sz w:val="36"/>
                <w:szCs w:val="34"/>
              </w:rPr>
              <w:t>EFECTIVIDAD DEL ENJUAGUE BUCAL ALOE VERA AL 50% Y LA CLORHEXIDINA AL 0.12% PARA REDUCCIÓN DE PLACA BACTERIANA EN LA INSTITUCIÓN EDUCATIVA DIVINO MAESTRO, SAN RAFAEL 2023</w:t>
            </w:r>
          </w:p>
          <w:p w14:paraId="71AAAFAF" w14:textId="77777777" w:rsidR="00D947B5" w:rsidRDefault="00D947B5" w:rsidP="000C6DEF">
            <w:pPr>
              <w:spacing w:after="0" w:line="240" w:lineRule="auto"/>
              <w:jc w:val="center"/>
              <w:rPr>
                <w:rFonts w:ascii="Times New Roman" w:hAnsi="Times New Roman"/>
                <w:b/>
                <w:bCs/>
                <w:color w:val="FFFFFF"/>
                <w:sz w:val="32"/>
                <w:szCs w:val="34"/>
              </w:rPr>
            </w:pPr>
          </w:p>
          <w:p w14:paraId="0AF8A9C6" w14:textId="697D7F1B" w:rsidR="0021065A" w:rsidRPr="00C27A7B" w:rsidRDefault="0021065A" w:rsidP="000C6DEF">
            <w:pPr>
              <w:spacing w:after="0" w:line="240" w:lineRule="auto"/>
              <w:jc w:val="center"/>
              <w:rPr>
                <w:rFonts w:ascii="Times New Roman" w:hAnsi="Times New Roman"/>
                <w:b/>
                <w:bCs/>
                <w:color w:val="FFFFFF"/>
                <w:sz w:val="32"/>
                <w:szCs w:val="34"/>
              </w:rPr>
            </w:pPr>
          </w:p>
        </w:tc>
      </w:tr>
      <w:tr w:rsidR="002F6471" w:rsidRPr="00D947B5" w14:paraId="000033CB" w14:textId="77777777" w:rsidTr="000C6DEF">
        <w:trPr>
          <w:trHeight w:val="1413"/>
        </w:trPr>
        <w:tc>
          <w:tcPr>
            <w:tcW w:w="9061" w:type="dxa"/>
            <w:hideMark/>
          </w:tcPr>
          <w:p w14:paraId="320FF38D" w14:textId="2F97CD2D" w:rsidR="002F6471" w:rsidRDefault="00D947B5" w:rsidP="000C6DEF">
            <w:pPr>
              <w:spacing w:after="0" w:line="240" w:lineRule="auto"/>
              <w:jc w:val="center"/>
              <w:rPr>
                <w:rFonts w:ascii="Times New Roman" w:hAnsi="Times New Roman"/>
                <w:bCs/>
                <w:color w:val="FFFFFF"/>
                <w:sz w:val="32"/>
                <w:szCs w:val="32"/>
                <w:lang w:val="es-PY"/>
              </w:rPr>
            </w:pPr>
            <w:r w:rsidRPr="00D947B5">
              <w:rPr>
                <w:rFonts w:ascii="Times New Roman" w:hAnsi="Times New Roman"/>
                <w:bCs/>
                <w:color w:val="FFFFFF"/>
                <w:sz w:val="32"/>
                <w:szCs w:val="32"/>
                <w:lang w:val="es-PY"/>
              </w:rPr>
              <w:t>EFFECTIVENESS OF 50% ALOE VERA MOUTHWASH AND 0.12% CHLORHEXIDINE FOR REDUCING BACTERIAL PLAQUE AT THE DIVINO MAESTRO EDUCATIONAL INSTITUTION, SAN RAFAEL 2023</w:t>
            </w:r>
          </w:p>
          <w:p w14:paraId="0D8A4034" w14:textId="77777777" w:rsidR="00D947B5" w:rsidRDefault="00D947B5" w:rsidP="000C6DEF">
            <w:pPr>
              <w:spacing w:after="0" w:line="240" w:lineRule="auto"/>
              <w:jc w:val="center"/>
              <w:rPr>
                <w:rFonts w:ascii="Times New Roman" w:hAnsi="Times New Roman"/>
                <w:color w:val="FFFFFF"/>
                <w:sz w:val="32"/>
                <w:szCs w:val="32"/>
                <w:lang w:val="es-PY"/>
              </w:rPr>
            </w:pPr>
          </w:p>
          <w:p w14:paraId="16A2D634" w14:textId="68224002" w:rsidR="0021065A" w:rsidRPr="00D947B5" w:rsidRDefault="0021065A" w:rsidP="000C6DEF">
            <w:pPr>
              <w:spacing w:after="0" w:line="240" w:lineRule="auto"/>
              <w:jc w:val="center"/>
              <w:rPr>
                <w:rFonts w:ascii="Times New Roman" w:hAnsi="Times New Roman"/>
                <w:color w:val="FFFFFF"/>
                <w:sz w:val="32"/>
                <w:szCs w:val="32"/>
                <w:lang w:val="es-PY"/>
              </w:rPr>
            </w:pPr>
          </w:p>
        </w:tc>
      </w:tr>
      <w:tr w:rsidR="002F6471" w14:paraId="2B2141F2" w14:textId="77777777" w:rsidTr="000C6DEF">
        <w:tc>
          <w:tcPr>
            <w:tcW w:w="9061" w:type="dxa"/>
          </w:tcPr>
          <w:p w14:paraId="10ED101A" w14:textId="77777777" w:rsidR="00D947B5" w:rsidRDefault="00D947B5" w:rsidP="000C6DEF">
            <w:pPr>
              <w:spacing w:after="0" w:line="240" w:lineRule="auto"/>
              <w:jc w:val="center"/>
              <w:rPr>
                <w:rFonts w:ascii="Times New Roman" w:hAnsi="Times New Roman"/>
                <w:b/>
                <w:bCs/>
                <w:color w:val="FFFFFF"/>
                <w:sz w:val="28"/>
                <w:szCs w:val="28"/>
              </w:rPr>
            </w:pPr>
            <w:r w:rsidRPr="00D947B5">
              <w:rPr>
                <w:rFonts w:ascii="Times New Roman" w:hAnsi="Times New Roman"/>
                <w:b/>
                <w:bCs/>
                <w:color w:val="FFFFFF"/>
                <w:sz w:val="28"/>
                <w:szCs w:val="28"/>
              </w:rPr>
              <w:t xml:space="preserve">Hilton Canta Carlos </w:t>
            </w:r>
          </w:p>
          <w:p w14:paraId="75300801" w14:textId="3A3EF1EE" w:rsidR="002F6471" w:rsidRDefault="00D947B5" w:rsidP="000C6DEF">
            <w:pPr>
              <w:spacing w:after="0" w:line="240" w:lineRule="auto"/>
              <w:jc w:val="center"/>
              <w:rPr>
                <w:rFonts w:ascii="Times New Roman" w:hAnsi="Times New Roman"/>
                <w:bCs/>
                <w:color w:val="FFFFFF"/>
                <w:szCs w:val="28"/>
              </w:rPr>
            </w:pPr>
            <w:r w:rsidRPr="00D947B5">
              <w:rPr>
                <w:rFonts w:ascii="Times New Roman" w:hAnsi="Times New Roman"/>
                <w:bCs/>
                <w:color w:val="FFFFFF"/>
                <w:szCs w:val="28"/>
              </w:rPr>
              <w:t>Universidad de Huánuco</w:t>
            </w:r>
          </w:p>
          <w:p w14:paraId="653486B9" w14:textId="77777777" w:rsidR="002F6471" w:rsidRPr="008557CF" w:rsidRDefault="002F6471" w:rsidP="00D947B5">
            <w:pPr>
              <w:spacing w:after="0" w:line="240" w:lineRule="auto"/>
              <w:jc w:val="center"/>
              <w:rPr>
                <w:bCs/>
                <w:color w:val="FFFFFF"/>
                <w:sz w:val="28"/>
                <w:szCs w:val="28"/>
              </w:rPr>
            </w:pPr>
          </w:p>
        </w:tc>
        <w:bookmarkEnd w:id="0"/>
      </w:tr>
    </w:tbl>
    <w:p w14:paraId="0063E061" w14:textId="0D63AC60" w:rsidR="00D54C57" w:rsidRDefault="002F6471">
      <w:pPr>
        <w:rPr>
          <w:rFonts w:ascii="Times New Roman" w:eastAsiaTheme="majorEastAsia" w:hAnsi="Times New Roman" w:cs="Times New Roman"/>
          <w:b/>
          <w:bCs/>
          <w:color w:val="000000" w:themeColor="text1"/>
          <w:kern w:val="0"/>
          <w:sz w:val="18"/>
          <w:szCs w:val="18"/>
          <w:lang w:val="es-PE"/>
          <w14:ligatures w14:val="none"/>
        </w:rPr>
      </w:pPr>
      <w:r>
        <w:rPr>
          <w:noProof/>
        </w:rPr>
        <w:drawing>
          <wp:anchor distT="0" distB="0" distL="114300" distR="114300" simplePos="0" relativeHeight="251659264" behindDoc="1" locked="0" layoutInCell="1" allowOverlap="1" wp14:anchorId="43D8A708" wp14:editId="748D0EAC">
            <wp:simplePos x="0" y="0"/>
            <wp:positionH relativeFrom="page">
              <wp:align>left</wp:align>
            </wp:positionH>
            <wp:positionV relativeFrom="paragraph">
              <wp:posOffset>-895985</wp:posOffset>
            </wp:positionV>
            <wp:extent cx="7553325" cy="10682917"/>
            <wp:effectExtent l="0" t="0" r="0" b="4445"/>
            <wp:wrapNone/>
            <wp:docPr id="19646398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82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C57">
        <w:rPr>
          <w:rFonts w:ascii="Times New Roman" w:hAnsi="Times New Roman" w:cs="Times New Roman"/>
          <w:b/>
          <w:bCs/>
          <w:color w:val="000000" w:themeColor="text1"/>
          <w:sz w:val="18"/>
          <w:szCs w:val="18"/>
        </w:rPr>
        <w:br w:type="page"/>
      </w:r>
    </w:p>
    <w:p w14:paraId="0515CF39" w14:textId="1BE5F1F3" w:rsidR="00E7090B" w:rsidRPr="0021065A" w:rsidRDefault="002F6471" w:rsidP="00E7090B">
      <w:pPr>
        <w:pStyle w:val="Ttulo1"/>
        <w:spacing w:before="0" w:after="0" w:line="240" w:lineRule="auto"/>
        <w:jc w:val="right"/>
        <w:rPr>
          <w:rFonts w:ascii="Times New Roman" w:hAnsi="Times New Roman" w:cs="Times New Roman"/>
          <w:b/>
          <w:bCs/>
          <w:color w:val="000000" w:themeColor="text1"/>
          <w:sz w:val="18"/>
          <w:szCs w:val="18"/>
          <w:lang w:val="nl-BE"/>
        </w:rPr>
      </w:pPr>
      <w:r w:rsidRPr="00EF795B">
        <w:rPr>
          <w:noProof/>
          <w:sz w:val="14"/>
          <w:szCs w:val="14"/>
        </w:rPr>
        <w:lastRenderedPageBreak/>
        <w:drawing>
          <wp:anchor distT="0" distB="0" distL="114300" distR="114300" simplePos="0" relativeHeight="251661312" behindDoc="0" locked="0" layoutInCell="1" allowOverlap="1" wp14:anchorId="3C302734" wp14:editId="6D5205A6">
            <wp:simplePos x="0" y="0"/>
            <wp:positionH relativeFrom="page">
              <wp:align>left</wp:align>
            </wp:positionH>
            <wp:positionV relativeFrom="paragraph">
              <wp:posOffset>-895985</wp:posOffset>
            </wp:positionV>
            <wp:extent cx="7553325" cy="771155"/>
            <wp:effectExtent l="0" t="0" r="0" b="0"/>
            <wp:wrapNone/>
            <wp:docPr id="20951386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77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90B" w:rsidRPr="0021065A">
        <w:rPr>
          <w:rFonts w:ascii="Times New Roman" w:hAnsi="Times New Roman" w:cs="Times New Roman"/>
          <w:b/>
          <w:bCs/>
          <w:color w:val="000000" w:themeColor="text1"/>
          <w:sz w:val="18"/>
          <w:szCs w:val="18"/>
          <w:lang w:val="nl-BE"/>
        </w:rPr>
        <w:t>DOI:</w:t>
      </w:r>
      <w:r w:rsidR="0021065A" w:rsidRPr="0021065A">
        <w:rPr>
          <w:rFonts w:asciiTheme="minorHAnsi" w:eastAsiaTheme="minorHAnsi" w:hAnsiTheme="minorHAnsi" w:cstheme="minorBidi"/>
          <w:color w:val="auto"/>
          <w:kern w:val="2"/>
          <w:sz w:val="22"/>
          <w:szCs w:val="22"/>
          <w:lang w:val="nl-BE"/>
          <w14:ligatures w14:val="standardContextual"/>
        </w:rPr>
        <w:t xml:space="preserve"> </w:t>
      </w:r>
      <w:hyperlink r:id="rId10" w:history="1">
        <w:r w:rsidR="0021065A" w:rsidRPr="0021065A">
          <w:rPr>
            <w:rStyle w:val="Hipervnculo"/>
            <w:rFonts w:ascii="Times New Roman" w:hAnsi="Times New Roman" w:cs="Times New Roman"/>
            <w:sz w:val="18"/>
            <w:szCs w:val="18"/>
            <w:lang w:val="nl-BE"/>
          </w:rPr>
          <w:t>https://doi.org/10.37811/cl_rcm.v10i3.24027</w:t>
        </w:r>
      </w:hyperlink>
    </w:p>
    <w:p w14:paraId="61F44D9F" w14:textId="726418BC" w:rsidR="00032DD2" w:rsidRPr="00E7090B" w:rsidRDefault="00032DD2" w:rsidP="002E21A9">
      <w:pPr>
        <w:pStyle w:val="Ttulo1"/>
        <w:spacing w:before="0" w:after="0" w:line="240" w:lineRule="auto"/>
        <w:rPr>
          <w:rFonts w:ascii="Times New Roman" w:hAnsi="Times New Roman" w:cs="Times New Roman"/>
          <w:b/>
          <w:bCs/>
          <w:color w:val="000000" w:themeColor="text1"/>
          <w:sz w:val="28"/>
          <w:szCs w:val="28"/>
        </w:rPr>
      </w:pPr>
      <w:r w:rsidRPr="00E7090B">
        <w:rPr>
          <w:rFonts w:ascii="Times New Roman" w:hAnsi="Times New Roman" w:cs="Times New Roman"/>
          <w:b/>
          <w:bCs/>
          <w:color w:val="000000" w:themeColor="text1"/>
          <w:sz w:val="28"/>
          <w:szCs w:val="28"/>
        </w:rPr>
        <w:t>Efectividad del enjuague bucal aloe vera al 50% y la clorhexidina al 0.12% para reducción de placa bacteriana en la Institución Educativa Divino Maestro, San Rafael 2023</w:t>
      </w:r>
    </w:p>
    <w:p w14:paraId="7452BAAE" w14:textId="77777777" w:rsidR="00032DD2" w:rsidRPr="00E7090B" w:rsidRDefault="00032DD2" w:rsidP="00E7090B">
      <w:pPr>
        <w:spacing w:after="0" w:line="240" w:lineRule="auto"/>
        <w:jc w:val="both"/>
        <w:rPr>
          <w:rFonts w:ascii="Times New Roman" w:hAnsi="Times New Roman" w:cs="Times New Roman"/>
        </w:rPr>
      </w:pPr>
    </w:p>
    <w:p w14:paraId="24D090F6" w14:textId="201BBCB0" w:rsidR="00032DD2" w:rsidRPr="00E7090B" w:rsidRDefault="00032DD2" w:rsidP="00D54C57">
      <w:pPr>
        <w:spacing w:after="0" w:line="276" w:lineRule="auto"/>
        <w:jc w:val="both"/>
        <w:rPr>
          <w:rFonts w:ascii="Times New Roman" w:hAnsi="Times New Roman" w:cs="Times New Roman"/>
          <w:b/>
          <w:bCs/>
          <w:vertAlign w:val="superscript"/>
          <w:lang w:val="en-US"/>
        </w:rPr>
      </w:pPr>
      <w:r w:rsidRPr="00E7090B">
        <w:rPr>
          <w:rFonts w:ascii="Times New Roman" w:hAnsi="Times New Roman" w:cs="Times New Roman"/>
          <w:b/>
          <w:bCs/>
          <w:lang w:val="en-US"/>
        </w:rPr>
        <w:t>Hilton Canta Carlos</w:t>
      </w:r>
      <w:r w:rsidR="002F6471">
        <w:rPr>
          <w:rStyle w:val="Refdenotaalpie"/>
          <w:rFonts w:ascii="Times New Roman" w:hAnsi="Times New Roman" w:cs="Times New Roman"/>
          <w:b/>
          <w:bCs/>
          <w:lang w:val="en-US"/>
        </w:rPr>
        <w:footnoteReference w:id="1"/>
      </w:r>
    </w:p>
    <w:p w14:paraId="7055E8A2" w14:textId="77777777" w:rsidR="00032DD2" w:rsidRPr="00E7090B" w:rsidRDefault="00200DB1" w:rsidP="00D54C57">
      <w:pPr>
        <w:spacing w:after="0" w:line="276" w:lineRule="auto"/>
        <w:jc w:val="both"/>
        <w:rPr>
          <w:rFonts w:ascii="Times New Roman" w:hAnsi="Times New Roman" w:cs="Times New Roman"/>
          <w:lang w:val="en-US"/>
        </w:rPr>
      </w:pPr>
      <w:hyperlink r:id="rId11" w:history="1">
        <w:r w:rsidR="00032DD2" w:rsidRPr="00E7090B">
          <w:rPr>
            <w:rStyle w:val="Hipervnculo"/>
            <w:rFonts w:ascii="Times New Roman" w:hAnsi="Times New Roman" w:cs="Times New Roman"/>
            <w:lang w:val="en-US"/>
          </w:rPr>
          <w:t>hiltoncantacarlos@hotmail.com</w:t>
        </w:r>
      </w:hyperlink>
    </w:p>
    <w:p w14:paraId="2ACA82B1" w14:textId="77777777" w:rsidR="00032DD2" w:rsidRPr="00E7090B" w:rsidRDefault="00032DD2" w:rsidP="00D54C57">
      <w:pPr>
        <w:spacing w:after="0" w:line="276" w:lineRule="auto"/>
        <w:jc w:val="both"/>
        <w:rPr>
          <w:rFonts w:ascii="Times New Roman" w:hAnsi="Times New Roman" w:cs="Times New Roman"/>
        </w:rPr>
      </w:pPr>
      <w:hyperlink r:id="rId12" w:history="1">
        <w:r w:rsidRPr="00E7090B">
          <w:rPr>
            <w:rStyle w:val="Hipervnculo"/>
            <w:rFonts w:ascii="Times New Roman" w:hAnsi="Times New Roman" w:cs="Times New Roman"/>
          </w:rPr>
          <w:t>https://orcid.org/0000-0002-8802-831X</w:t>
        </w:r>
      </w:hyperlink>
    </w:p>
    <w:p w14:paraId="3604933F" w14:textId="77777777" w:rsidR="00032DD2" w:rsidRPr="00E7090B" w:rsidRDefault="00032DD2" w:rsidP="00D54C57">
      <w:pPr>
        <w:spacing w:after="0" w:line="276" w:lineRule="auto"/>
        <w:jc w:val="both"/>
        <w:rPr>
          <w:rFonts w:ascii="Times New Roman" w:hAnsi="Times New Roman" w:cs="Times New Roman"/>
        </w:rPr>
      </w:pPr>
      <w:r w:rsidRPr="00E7090B">
        <w:rPr>
          <w:rFonts w:ascii="Times New Roman" w:hAnsi="Times New Roman" w:cs="Times New Roman"/>
        </w:rPr>
        <w:t>Universidad de Huánuco</w:t>
      </w:r>
    </w:p>
    <w:p w14:paraId="6891B4A5" w14:textId="77777777" w:rsidR="00032DD2" w:rsidRPr="00E7090B" w:rsidRDefault="00032DD2" w:rsidP="00D54C57">
      <w:pPr>
        <w:spacing w:after="0" w:line="276" w:lineRule="auto"/>
        <w:jc w:val="both"/>
        <w:rPr>
          <w:rFonts w:ascii="Times New Roman" w:hAnsi="Times New Roman" w:cs="Times New Roman"/>
        </w:rPr>
      </w:pPr>
      <w:r w:rsidRPr="00E7090B">
        <w:rPr>
          <w:rFonts w:ascii="Times New Roman" w:hAnsi="Times New Roman" w:cs="Times New Roman"/>
        </w:rPr>
        <w:t>Perú</w:t>
      </w:r>
    </w:p>
    <w:p w14:paraId="38CC1933" w14:textId="77777777" w:rsidR="00032DD2" w:rsidRPr="00E7090B" w:rsidRDefault="00032DD2" w:rsidP="00D54C57">
      <w:pPr>
        <w:spacing w:after="0" w:line="276" w:lineRule="auto"/>
        <w:jc w:val="both"/>
        <w:rPr>
          <w:rFonts w:ascii="Times New Roman" w:hAnsi="Times New Roman" w:cs="Times New Roman"/>
        </w:rPr>
      </w:pPr>
    </w:p>
    <w:p w14:paraId="08EF8BA7" w14:textId="77777777" w:rsidR="00032DD2" w:rsidRPr="00E7090B" w:rsidRDefault="00032DD2" w:rsidP="002E21A9">
      <w:pPr>
        <w:spacing w:after="0" w:line="360" w:lineRule="auto"/>
        <w:jc w:val="both"/>
        <w:rPr>
          <w:rFonts w:ascii="Times New Roman" w:hAnsi="Times New Roman" w:cs="Times New Roman"/>
          <w:b/>
          <w:bCs/>
        </w:rPr>
      </w:pPr>
      <w:r w:rsidRPr="00E7090B">
        <w:rPr>
          <w:rFonts w:ascii="Times New Roman" w:hAnsi="Times New Roman" w:cs="Times New Roman"/>
          <w:b/>
          <w:bCs/>
        </w:rPr>
        <w:t>RESUMEN</w:t>
      </w:r>
    </w:p>
    <w:p w14:paraId="68CD3C24" w14:textId="77777777" w:rsidR="00032DD2" w:rsidRDefault="00032DD2" w:rsidP="002E21A9">
      <w:pPr>
        <w:spacing w:after="0" w:line="360" w:lineRule="auto"/>
        <w:jc w:val="both"/>
        <w:rPr>
          <w:rFonts w:ascii="Times New Roman" w:hAnsi="Times New Roman" w:cs="Times New Roman"/>
          <w:bCs/>
          <w:color w:val="000000" w:themeColor="text1"/>
        </w:rPr>
      </w:pPr>
      <w:r w:rsidRPr="00E7090B">
        <w:rPr>
          <w:rFonts w:ascii="Times New Roman" w:hAnsi="Times New Roman" w:cs="Times New Roman"/>
        </w:rPr>
        <w:t>Objetivo: D</w:t>
      </w:r>
      <w:r w:rsidRPr="00E7090B">
        <w:rPr>
          <w:rFonts w:ascii="Times New Roman" w:hAnsi="Times New Roman" w:cs="Times New Roman"/>
          <w:color w:val="000000" w:themeColor="text1"/>
        </w:rPr>
        <w:t>eterminar la efectividad del enjuague bucal de Aloe Vera al 50% con relación a la clorhexidina al 0.12% para la reducción de la placa bacteriana en la Institución Educativa Divino Maestro</w:t>
      </w:r>
      <w:r w:rsidRPr="00E7090B">
        <w:rPr>
          <w:rFonts w:ascii="Times New Roman" w:hAnsi="Times New Roman" w:cs="Times New Roman"/>
        </w:rPr>
        <w:t>, San Rafael 2023. Materiales y métodos: Se realizó una investigación prospectiva, nivel experimental y nivel explicativo en donde se agruparon dos grupos de muestras de 40 participantes en cada grupo. A cada grupo se le aplico el instrumento de IHO-S para detectar la cantidad de placa bacteriana en dos momentos (antes y después del uso del enjuague bucal), al grupo A se le aplico el enjuague de aloe vera y al B de clorhexidina, en un periodo de 5 días y las mediciones se hicieron al primer, al segundo y al quinto día. Se empleo la estadística inferencial U de Mann Whitney para la prueba de hipótesis, el valor de significancia fue de 0,00 (p&lt; 0.05). Resultados:</w:t>
      </w:r>
      <w:r w:rsidRPr="00E7090B">
        <w:rPr>
          <w:rFonts w:ascii="Times New Roman" w:hAnsi="Times New Roman" w:cs="Times New Roman"/>
          <w:bCs/>
        </w:rPr>
        <w:t xml:space="preserve"> La muestra arrojaron que la </w:t>
      </w:r>
      <w:r w:rsidRPr="00E7090B">
        <w:rPr>
          <w:rFonts w:ascii="Times New Roman" w:hAnsi="Times New Roman" w:cs="Times New Roman"/>
          <w:bCs/>
          <w:color w:val="000000" w:themeColor="text1"/>
        </w:rPr>
        <w:t xml:space="preserve">eficacia del enjuague bucal de aloe vera para reducir el IHO-S, </w:t>
      </w:r>
      <w:r w:rsidRPr="00E7090B">
        <w:rPr>
          <w:rFonts w:ascii="Times New Roman" w:hAnsi="Times New Roman" w:cs="Times New Roman"/>
        </w:rPr>
        <w:t xml:space="preserve">el 2.5% tuvo una efectividad muy mala, el 20% fue mala, el 72.5% fue regular y el 5% fue óptima, al contrastarlo con la clorhexidina se evidencio que el 0% tuvo una efectividad muy mala, el 10% fue mala, el 82.5% fue regular y el 7.5% fue óptima. Conclusión: El </w:t>
      </w:r>
      <w:r w:rsidRPr="00E7090B">
        <w:rPr>
          <w:rFonts w:ascii="Times New Roman" w:hAnsi="Times New Roman" w:cs="Times New Roman"/>
          <w:bCs/>
          <w:color w:val="000000" w:themeColor="text1"/>
        </w:rPr>
        <w:t xml:space="preserve">enjuague bucal de aloe vera al 50% es efectivo para disminuir el biofilm dental, pero si se compara con la clorhexidina este resulto ser más eficiente. </w:t>
      </w:r>
    </w:p>
    <w:p w14:paraId="0026FCD5" w14:textId="77777777" w:rsidR="002E21A9" w:rsidRPr="00E7090B" w:rsidRDefault="002E21A9" w:rsidP="002E21A9">
      <w:pPr>
        <w:spacing w:after="0" w:line="360" w:lineRule="auto"/>
        <w:jc w:val="both"/>
        <w:rPr>
          <w:rFonts w:ascii="Times New Roman" w:hAnsi="Times New Roman" w:cs="Times New Roman"/>
        </w:rPr>
      </w:pPr>
    </w:p>
    <w:p w14:paraId="24890CF1" w14:textId="69006FAD" w:rsidR="00032DD2" w:rsidRPr="00E7090B" w:rsidRDefault="00032DD2" w:rsidP="002E21A9">
      <w:pPr>
        <w:spacing w:after="0" w:line="360" w:lineRule="auto"/>
        <w:jc w:val="both"/>
        <w:rPr>
          <w:rFonts w:ascii="Times New Roman" w:hAnsi="Times New Roman" w:cs="Times New Roman"/>
          <w:bCs/>
          <w:color w:val="000000" w:themeColor="text1"/>
        </w:rPr>
      </w:pPr>
      <w:r w:rsidRPr="002E21A9">
        <w:rPr>
          <w:rFonts w:ascii="Times New Roman" w:hAnsi="Times New Roman" w:cs="Times New Roman"/>
          <w:b/>
          <w:i/>
          <w:iCs/>
          <w:color w:val="000000" w:themeColor="text1"/>
        </w:rPr>
        <w:t>Palabras clave:</w:t>
      </w:r>
      <w:r w:rsidRPr="00E7090B">
        <w:rPr>
          <w:rFonts w:ascii="Times New Roman" w:hAnsi="Times New Roman" w:cs="Times New Roman"/>
          <w:b/>
          <w:color w:val="000000" w:themeColor="text1"/>
        </w:rPr>
        <w:t xml:space="preserve"> </w:t>
      </w:r>
      <w:r w:rsidRPr="00E7090B">
        <w:rPr>
          <w:rFonts w:ascii="Times New Roman" w:hAnsi="Times New Roman" w:cs="Times New Roman"/>
          <w:bCs/>
          <w:color w:val="000000" w:themeColor="text1"/>
        </w:rPr>
        <w:t xml:space="preserve">Enjuague bucal, </w:t>
      </w:r>
      <w:r w:rsidR="001E657C">
        <w:rPr>
          <w:rFonts w:ascii="Times New Roman" w:hAnsi="Times New Roman" w:cs="Times New Roman"/>
          <w:bCs/>
          <w:color w:val="000000" w:themeColor="text1"/>
        </w:rPr>
        <w:t>aloe vera</w:t>
      </w:r>
      <w:r w:rsidRPr="00E7090B">
        <w:rPr>
          <w:rFonts w:ascii="Times New Roman" w:hAnsi="Times New Roman" w:cs="Times New Roman"/>
          <w:bCs/>
          <w:color w:val="000000" w:themeColor="text1"/>
        </w:rPr>
        <w:t xml:space="preserve">, clorhexidina, placa bacteriana y disminución biofilm dental. </w:t>
      </w:r>
    </w:p>
    <w:p w14:paraId="3D0B6EA9" w14:textId="77777777" w:rsidR="00E7090B" w:rsidRDefault="00E7090B" w:rsidP="002E21A9">
      <w:pPr>
        <w:spacing w:line="360" w:lineRule="auto"/>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br w:type="page"/>
      </w:r>
    </w:p>
    <w:p w14:paraId="103FC970" w14:textId="1DB4D2E5" w:rsidR="00032DD2" w:rsidRPr="00501848" w:rsidRDefault="00032DD2" w:rsidP="00501848">
      <w:pPr>
        <w:spacing w:after="0" w:line="240" w:lineRule="auto"/>
        <w:jc w:val="both"/>
        <w:rPr>
          <w:rFonts w:ascii="Times New Roman" w:hAnsi="Times New Roman" w:cs="Times New Roman"/>
          <w:bCs/>
          <w:color w:val="000000" w:themeColor="text1"/>
          <w:sz w:val="28"/>
          <w:szCs w:val="28"/>
          <w:lang w:val="en-US"/>
        </w:rPr>
      </w:pPr>
      <w:r w:rsidRPr="00501848">
        <w:rPr>
          <w:rFonts w:ascii="Times New Roman" w:hAnsi="Times New Roman" w:cs="Times New Roman"/>
          <w:b/>
          <w:bCs/>
          <w:color w:val="000000" w:themeColor="text1"/>
          <w:sz w:val="28"/>
          <w:szCs w:val="28"/>
          <w:lang w:val="en-US"/>
        </w:rPr>
        <w:t>Effectiveness of 50% Aloe Vera mouthwash and 0.12% Chlorhexidine for reducing bacterial plaque at the Divino Maestro Educational Institution, San Rafael 2023</w:t>
      </w:r>
    </w:p>
    <w:p w14:paraId="7A1F7FA9" w14:textId="77777777" w:rsidR="00032DD2" w:rsidRPr="00E7090B" w:rsidRDefault="00032DD2" w:rsidP="00501848">
      <w:pPr>
        <w:spacing w:after="0" w:line="240" w:lineRule="auto"/>
        <w:jc w:val="both"/>
        <w:rPr>
          <w:rFonts w:ascii="Times New Roman" w:hAnsi="Times New Roman" w:cs="Times New Roman"/>
          <w:bCs/>
          <w:color w:val="000000" w:themeColor="text1"/>
          <w:lang w:val="en-US"/>
        </w:rPr>
      </w:pPr>
    </w:p>
    <w:p w14:paraId="25717C85" w14:textId="77777777" w:rsidR="00032DD2" w:rsidRPr="00E7090B" w:rsidRDefault="00032DD2" w:rsidP="002E21A9">
      <w:pPr>
        <w:spacing w:after="0" w:line="360" w:lineRule="auto"/>
        <w:jc w:val="both"/>
        <w:rPr>
          <w:rFonts w:ascii="Times New Roman" w:hAnsi="Times New Roman" w:cs="Times New Roman"/>
          <w:b/>
          <w:color w:val="000000" w:themeColor="text1"/>
          <w:lang w:val="en-US"/>
        </w:rPr>
      </w:pPr>
      <w:r w:rsidRPr="00E7090B">
        <w:rPr>
          <w:rFonts w:ascii="Times New Roman" w:hAnsi="Times New Roman" w:cs="Times New Roman"/>
          <w:b/>
          <w:color w:val="000000" w:themeColor="text1"/>
          <w:lang w:val="en-US"/>
        </w:rPr>
        <w:t>ABSTRACT</w:t>
      </w:r>
    </w:p>
    <w:p w14:paraId="68756A4A" w14:textId="77777777" w:rsidR="00501848" w:rsidRDefault="00032DD2" w:rsidP="002E21A9">
      <w:pPr>
        <w:spacing w:after="0" w:line="360" w:lineRule="auto"/>
        <w:jc w:val="both"/>
        <w:rPr>
          <w:rFonts w:ascii="Times New Roman" w:hAnsi="Times New Roman" w:cs="Times New Roman"/>
          <w:bCs/>
          <w:color w:val="000000" w:themeColor="text1"/>
          <w:lang w:val="en-US"/>
        </w:rPr>
      </w:pPr>
      <w:r w:rsidRPr="00E7090B">
        <w:rPr>
          <w:rFonts w:ascii="Times New Roman" w:hAnsi="Times New Roman" w:cs="Times New Roman"/>
          <w:bCs/>
          <w:color w:val="000000" w:themeColor="text1"/>
          <w:lang w:val="en-US"/>
        </w:rPr>
        <w:t xml:space="preserve">Objective: To determine the effectiveness of 50% Aloe Vera mouthwash compared to 0.12% chlorhexidine for reducing bacterial plaque at the Divino Maestro Educational Institution, San Rafael 2023. Materials and Methods: A prospective, experimental, and explanatory investigation was conducted in which two groups of 40 participants each were formed. Each group was given the IHO-S instrument to detect the amount of bacterial plaque at two points (before and after using the mouthwash); group A was given the Aloe Vera mouthwash and group B received chlorhexidine, over a period of 5 days with measurements taken on the first, second, and fifth days. The inferential statistic U of Mann Whitney was used for the hypothesis test, with a significance value of 0.00 (p&lt; 0.05). Results: The sample showed that the effectiveness of Aloe Vera mouthwash to reduce the IHO-S was 2.5% very poor, 20% poor, 72.5% fair, and 5% optimal, while in comparison with chlorhexidine, 0% was very poor, 10% poor, 82.5% fair, and 7.5% optimal. Conclusion: 50% Aloe Vera mouthwash is effective in reducing dental biofilm, but when compared to chlorhexidine, the latter was found to be more efficient. </w:t>
      </w:r>
    </w:p>
    <w:p w14:paraId="4D4B4E15" w14:textId="77777777" w:rsidR="00501848" w:rsidRDefault="00501848" w:rsidP="002E21A9">
      <w:pPr>
        <w:spacing w:after="0" w:line="360" w:lineRule="auto"/>
        <w:jc w:val="both"/>
        <w:rPr>
          <w:rFonts w:ascii="Times New Roman" w:hAnsi="Times New Roman" w:cs="Times New Roman"/>
          <w:bCs/>
          <w:color w:val="000000" w:themeColor="text1"/>
          <w:lang w:val="en-US"/>
        </w:rPr>
      </w:pPr>
    </w:p>
    <w:p w14:paraId="01610D1C" w14:textId="7B7B8932" w:rsidR="00032DD2" w:rsidRPr="00E7090B" w:rsidRDefault="00032DD2" w:rsidP="002E21A9">
      <w:pPr>
        <w:spacing w:after="0" w:line="360" w:lineRule="auto"/>
        <w:jc w:val="both"/>
        <w:rPr>
          <w:rFonts w:ascii="Times New Roman" w:hAnsi="Times New Roman" w:cs="Times New Roman"/>
          <w:bCs/>
          <w:color w:val="000000" w:themeColor="text1"/>
          <w:lang w:val="en-US"/>
        </w:rPr>
      </w:pPr>
      <w:r w:rsidRPr="00D54C57">
        <w:rPr>
          <w:rFonts w:ascii="Times New Roman" w:hAnsi="Times New Roman" w:cs="Times New Roman"/>
          <w:b/>
          <w:i/>
          <w:iCs/>
          <w:color w:val="000000" w:themeColor="text1"/>
          <w:lang w:val="en-US"/>
        </w:rPr>
        <w:t>Keywords:</w:t>
      </w:r>
      <w:r w:rsidRPr="00E7090B">
        <w:rPr>
          <w:rFonts w:ascii="Times New Roman" w:hAnsi="Times New Roman" w:cs="Times New Roman"/>
          <w:bCs/>
          <w:color w:val="000000" w:themeColor="text1"/>
          <w:lang w:val="en-US"/>
        </w:rPr>
        <w:t xml:space="preserve"> Mouthwash, Aloe Vera, chlorhexidine, bacterial plaque, and reduction of dental biofilm.</w:t>
      </w:r>
    </w:p>
    <w:p w14:paraId="175D9FBE" w14:textId="77777777" w:rsidR="00D54C57" w:rsidRDefault="00D54C57" w:rsidP="00D54C57">
      <w:pPr>
        <w:spacing w:after="0" w:line="360" w:lineRule="auto"/>
        <w:rPr>
          <w:rFonts w:ascii="Times New Roman" w:hAnsi="Times New Roman" w:cs="Times New Roman"/>
          <w:b/>
          <w:color w:val="000000" w:themeColor="text1"/>
          <w:lang w:val="nl-BE"/>
        </w:rPr>
      </w:pPr>
    </w:p>
    <w:p w14:paraId="30871062" w14:textId="77777777" w:rsidR="00D54C57" w:rsidRDefault="00D54C57" w:rsidP="00D54C57">
      <w:pPr>
        <w:spacing w:after="0" w:line="360" w:lineRule="auto"/>
        <w:rPr>
          <w:rFonts w:ascii="Times New Roman" w:hAnsi="Times New Roman" w:cs="Times New Roman"/>
          <w:b/>
          <w:color w:val="000000" w:themeColor="text1"/>
          <w:lang w:val="nl-BE"/>
        </w:rPr>
      </w:pPr>
    </w:p>
    <w:p w14:paraId="4BDA0F84" w14:textId="77777777" w:rsidR="00D54C57" w:rsidRDefault="00D54C57" w:rsidP="00D54C57">
      <w:pPr>
        <w:spacing w:after="0" w:line="360" w:lineRule="auto"/>
        <w:rPr>
          <w:rFonts w:ascii="Times New Roman" w:hAnsi="Times New Roman" w:cs="Times New Roman"/>
          <w:b/>
          <w:color w:val="000000" w:themeColor="text1"/>
          <w:lang w:val="nl-BE"/>
        </w:rPr>
      </w:pPr>
    </w:p>
    <w:p w14:paraId="07920E5A" w14:textId="77777777" w:rsidR="00D54C57" w:rsidRPr="0016009B" w:rsidRDefault="00D54C57" w:rsidP="00D54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i/>
          <w:noProof/>
          <w:lang w:eastAsia="es-EC"/>
        </w:rPr>
      </w:pPr>
      <w:r w:rsidRPr="0016009B">
        <w:rPr>
          <w:rFonts w:ascii="Times New Roman" w:hAnsi="Times New Roman"/>
          <w:bCs/>
          <w:i/>
          <w:noProof/>
          <w:lang w:eastAsia="es-EC"/>
        </w:rPr>
        <w:t>Artículo recibido 20 marzo 2026</w:t>
      </w:r>
    </w:p>
    <w:p w14:paraId="093D4C8B" w14:textId="77777777" w:rsidR="00D54C57" w:rsidRPr="0016009B" w:rsidRDefault="00D54C57" w:rsidP="00D54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i/>
          <w:noProof/>
          <w:lang w:eastAsia="es-EC"/>
        </w:rPr>
      </w:pPr>
      <w:r w:rsidRPr="0016009B">
        <w:rPr>
          <w:rFonts w:ascii="Times New Roman" w:hAnsi="Times New Roman"/>
          <w:bCs/>
          <w:i/>
          <w:noProof/>
          <w:lang w:eastAsia="es-EC"/>
        </w:rPr>
        <w:t>Aceptado para publicación: 15 abril 2026</w:t>
      </w:r>
    </w:p>
    <w:p w14:paraId="14D12F74" w14:textId="488C5D09" w:rsidR="00E7090B" w:rsidRPr="00D54C57" w:rsidRDefault="00E7090B" w:rsidP="002E21A9">
      <w:pPr>
        <w:spacing w:line="360" w:lineRule="auto"/>
        <w:rPr>
          <w:rFonts w:ascii="Times New Roman" w:hAnsi="Times New Roman" w:cs="Times New Roman"/>
          <w:b/>
          <w:color w:val="000000" w:themeColor="text1"/>
          <w:lang w:val="es-PY"/>
        </w:rPr>
      </w:pPr>
      <w:r w:rsidRPr="00D54C57">
        <w:rPr>
          <w:rFonts w:ascii="Times New Roman" w:hAnsi="Times New Roman" w:cs="Times New Roman"/>
          <w:b/>
          <w:color w:val="000000" w:themeColor="text1"/>
          <w:lang w:val="es-PY"/>
        </w:rPr>
        <w:br w:type="page"/>
      </w:r>
    </w:p>
    <w:p w14:paraId="0FEA5E71" w14:textId="7AA13091" w:rsidR="00032DD2" w:rsidRPr="00E7090B" w:rsidRDefault="00032DD2" w:rsidP="00E7090B">
      <w:pPr>
        <w:spacing w:after="0" w:line="480" w:lineRule="auto"/>
        <w:jc w:val="both"/>
        <w:rPr>
          <w:rFonts w:ascii="Times New Roman" w:hAnsi="Times New Roman" w:cs="Times New Roman"/>
          <w:b/>
          <w:color w:val="000000" w:themeColor="text1"/>
        </w:rPr>
      </w:pPr>
      <w:r w:rsidRPr="00E7090B">
        <w:rPr>
          <w:rFonts w:ascii="Times New Roman" w:hAnsi="Times New Roman" w:cs="Times New Roman"/>
          <w:b/>
          <w:color w:val="000000" w:themeColor="text1"/>
        </w:rPr>
        <w:t>INTRODUCCIÓN</w:t>
      </w:r>
    </w:p>
    <w:p w14:paraId="04F8A219" w14:textId="77777777" w:rsidR="00032DD2" w:rsidRPr="00E7090B" w:rsidRDefault="00032DD2" w:rsidP="00E7090B">
      <w:pPr>
        <w:spacing w:after="0" w:line="480" w:lineRule="auto"/>
        <w:jc w:val="both"/>
        <w:rPr>
          <w:rFonts w:ascii="Times New Roman" w:hAnsi="Times New Roman" w:cs="Times New Roman"/>
          <w:color w:val="000000" w:themeColor="text1"/>
        </w:rPr>
      </w:pPr>
      <w:r w:rsidRPr="00E7090B">
        <w:rPr>
          <w:rFonts w:ascii="Times New Roman" w:hAnsi="Times New Roman" w:cs="Times New Roman"/>
          <w:bCs/>
          <w:color w:val="000000" w:themeColor="text1"/>
        </w:rPr>
        <w:t>La Organización Mundial de la Salud define al estado de salud bucal como el bienestar general de los individuos no limitando a la ausencia de enfermedades</w:t>
      </w:r>
      <w:r w:rsidRPr="00E7090B">
        <w:rPr>
          <w:rFonts w:ascii="Times New Roman" w:hAnsi="Times New Roman" w:cs="Times New Roman"/>
          <w:color w:val="000000" w:themeColor="text1"/>
        </w:rPr>
        <w:t>, sino a un estado que permite realizar actividades fundamentales como comer, hablar y respirar sin dificultad, a la vez afecta aspectos emocionales y sociales, como la autoestima y las relaciones interpersonales. A lo largo de la vida, es crucial mantener una buena salud bucodental para participar plenamente en la sociedad y alcanzar nuestro potencial. La salud general de las personas esta influenciada por los microrganismos bucales presentes en la boca en donde estas evolucionan para formar la placa dentaria a nivel de las superficies dentarias conllevando a patologías orales es por ello que la prevención es fundamental para mantener una buena salud bucodental mediante la higiene bucal rutinaria</w:t>
      </w:r>
      <w:r w:rsidRPr="00E7090B">
        <w:rPr>
          <w:rFonts w:ascii="Times New Roman" w:hAnsi="Times New Roman" w:cs="Times New Roman"/>
          <w:bCs/>
          <w:color w:val="000000" w:themeColor="text1"/>
        </w:rPr>
        <w:t xml:space="preserve"> </w:t>
      </w:r>
      <w:r w:rsidRPr="00E7090B">
        <w:rPr>
          <w:rFonts w:ascii="Times New Roman" w:hAnsi="Times New Roman" w:cs="Times New Roman"/>
          <w:color w:val="000000" w:themeColor="text1"/>
        </w:rPr>
        <w:t xml:space="preserve">diariamente. </w:t>
      </w:r>
    </w:p>
    <w:p w14:paraId="3315BB70" w14:textId="77777777" w:rsidR="00032DD2" w:rsidRPr="00E7090B" w:rsidRDefault="00032DD2" w:rsidP="00E7090B">
      <w:pPr>
        <w:spacing w:after="0" w:line="480" w:lineRule="auto"/>
        <w:jc w:val="both"/>
        <w:rPr>
          <w:rFonts w:ascii="Times New Roman" w:hAnsi="Times New Roman" w:cs="Times New Roman"/>
          <w:bCs/>
          <w:color w:val="000000" w:themeColor="text1"/>
        </w:rPr>
      </w:pPr>
      <w:r w:rsidRPr="00E7090B">
        <w:rPr>
          <w:rFonts w:ascii="Times New Roman" w:hAnsi="Times New Roman" w:cs="Times New Roman"/>
          <w:bCs/>
          <w:color w:val="000000" w:themeColor="text1"/>
        </w:rPr>
        <w:t xml:space="preserve">El control de la placa bacteriana es fundamental para mantener una salud bucodental es </w:t>
      </w:r>
      <w:r w:rsidRPr="00E7090B">
        <w:rPr>
          <w:rFonts w:ascii="Times New Roman" w:hAnsi="Times New Roman" w:cs="Times New Roman"/>
          <w:color w:val="000000" w:themeColor="text1"/>
        </w:rPr>
        <w:t xml:space="preserve">ello que se debe de efectuar una correcta eliminación o remoción de la placa dental mediante procedimientos mecánicos como una buena técnica de cepillado dental de manera diaria, la higiene interproximal mediante la seda dental o cepillos interproximales y mediante procedimientos químicos mediante el uso de geles, colutorios y spray o en forma de barniz. Los agentes químicos son ideales para el control de la placa bacteriana o el biofilm dental ya que tiene la función de eliminar agentes bacterianos que forman la placa dental y entre las principales tenemos a la clorhexidina, triclosán, hexetidina, extractos vegetales, fluoruros, aceites esenciales y los compuestos de amonio cuaternario como el cloruro de cetilpiridinio (CPC), siendo la clorhexidina la más empleada para controlar el biofilm oral. </w:t>
      </w:r>
    </w:p>
    <w:p w14:paraId="03B16084" w14:textId="77777777" w:rsidR="00032DD2" w:rsidRPr="00E7090B" w:rsidRDefault="00032DD2" w:rsidP="00E7090B">
      <w:pPr>
        <w:shd w:val="clear" w:color="auto" w:fill="FFFFFF"/>
        <w:spacing w:after="0" w:line="480" w:lineRule="auto"/>
        <w:jc w:val="both"/>
        <w:textAlignment w:val="baseline"/>
        <w:rPr>
          <w:rFonts w:ascii="Times New Roman" w:hAnsi="Times New Roman" w:cs="Times New Roman"/>
          <w:color w:val="000000" w:themeColor="text1"/>
        </w:rPr>
      </w:pPr>
      <w:r w:rsidRPr="00E7090B">
        <w:rPr>
          <w:rFonts w:ascii="Times New Roman" w:hAnsi="Times New Roman" w:cs="Times New Roman"/>
          <w:color w:val="000000" w:themeColor="text1"/>
        </w:rPr>
        <w:t xml:space="preserve">La clorhexidina es el agente antiséptico con actividad antibacteriana para reducir la placa bacteriana siendo el agente químico que penetra el biofilm dental y altera su formación, así como ayuda a disminuir la inflamación gingival y el sangrado. Su efectividad varía de acuerdo a la dosis en donde a concentraciones altas es bactericida y en bajas es bacteriostáticas. La clorhexidina al 0.12% reduce en un 20% a las porphyromonas gingivalis en comparación de la clorhexidina al 0.2% que la reduce en un 3.33%. El uso de la clorhexidina en periodos largos trae efectos adversos como sabor desagradable, altera la sensación del gusto, erosiona la mucosa oral, aumenta el volumen parotídeo, pigmenta los dientes, de las restauraciones.Estudios coinciden los beneficios que aporta el aloe vera, en donde destacan que es un producto muy efectivo en donde se usa como complementario ante la terapia mecánica en las enfermedades gingivales provocadas por placa bacteriana, también hay evidencia que los productos para la fisioterapia oral a base de aloe vera como los colutorios reducen el 47% de la placa dental, en el caso de las pastas dentales llegan a inhibir el 7% de los niveles de biofilm dentario e inflamación de las encías y los geles llegan a mejorar el 6% de condición clínica y las molestias asociadas a las periodontopatías. </w:t>
      </w:r>
    </w:p>
    <w:p w14:paraId="438C8E68" w14:textId="77777777" w:rsidR="00032DD2" w:rsidRPr="00E7090B" w:rsidRDefault="00032DD2" w:rsidP="00E7090B">
      <w:pPr>
        <w:shd w:val="clear" w:color="auto" w:fill="FFFFFF"/>
        <w:spacing w:after="0" w:line="480" w:lineRule="auto"/>
        <w:jc w:val="both"/>
        <w:textAlignment w:val="baseline"/>
        <w:rPr>
          <w:rFonts w:ascii="Times New Roman" w:hAnsi="Times New Roman" w:cs="Times New Roman"/>
          <w:color w:val="000000" w:themeColor="text1"/>
        </w:rPr>
      </w:pPr>
      <w:r w:rsidRPr="00E7090B">
        <w:rPr>
          <w:rFonts w:ascii="Times New Roman" w:hAnsi="Times New Roman" w:cs="Times New Roman"/>
          <w:color w:val="000000" w:themeColor="text1"/>
        </w:rPr>
        <w:t>El biofilm dentario es de mayor prevalencia a nivel mundial en donde influye aspectos de la calidad de vida familiar en un 80%, siendo importante para la educación en salud bucal a nivel económico para desarrollar una correcta salud bucal. De acuerdo a los estudios de las enfermedades bucodentales son afectados a un aproximado de 3500 millones de personas, afectado a la mitad de la población a nivel mundial, siendo más prevalente la caries dental en el grupo etario entre las edades de 12 a 18 años existe una prevalencia del 48.3%, mientras con referencia al índice de placa bacteriana el 98% en donde esta predominando entre las edades de 15 a 16 años por déficit en una adecuada higiene bucal</w:t>
      </w:r>
      <w:r w:rsidRPr="00E7090B">
        <w:rPr>
          <w:rFonts w:ascii="Times New Roman" w:hAnsi="Times New Roman" w:cs="Times New Roman"/>
          <w:color w:val="000000" w:themeColor="text1"/>
          <w:vertAlign w:val="superscript"/>
        </w:rPr>
        <w:t>6</w:t>
      </w:r>
      <w:r w:rsidRPr="00E7090B">
        <w:rPr>
          <w:rFonts w:ascii="Times New Roman" w:hAnsi="Times New Roman" w:cs="Times New Roman"/>
          <w:color w:val="000000" w:themeColor="text1"/>
        </w:rPr>
        <w:t>.  En la cuidad de Ayacucho, en su estudio en una población de 600 escolares, el 96,4% de los estudiantes manifestaron un índice de higiene oral malo debido a la falta de conocimiento sobre la salud oral, afectando el buen estado de salud bucal</w:t>
      </w:r>
      <w:r w:rsidRPr="00E7090B">
        <w:rPr>
          <w:rFonts w:ascii="Times New Roman" w:hAnsi="Times New Roman" w:cs="Times New Roman"/>
          <w:color w:val="000000" w:themeColor="text1"/>
          <w:vertAlign w:val="superscript"/>
        </w:rPr>
        <w:t>7</w:t>
      </w:r>
      <w:r w:rsidRPr="00E7090B">
        <w:rPr>
          <w:rFonts w:ascii="Times New Roman" w:hAnsi="Times New Roman" w:cs="Times New Roman"/>
          <w:color w:val="000000" w:themeColor="text1"/>
        </w:rPr>
        <w:t xml:space="preserve">. En la ciudad de Huánuco se realizó un estudio en una población de 118 niños en donde se determinó que el 72.9% presentaron placa dentobacteriana con una deficiencia de higiene oral del 52.4%. En ese estudio también se determinó las condiciones de higiene oral con el estado nutricional los que tuvieron sangrado gingival en un 61.5% el 59.3% con placa dental y con el 60.3% de higiene oral deficiente. </w:t>
      </w:r>
    </w:p>
    <w:p w14:paraId="6E216B0D" w14:textId="77777777" w:rsidR="00032DD2" w:rsidRPr="00E7090B" w:rsidRDefault="00032DD2" w:rsidP="00E7090B">
      <w:pPr>
        <w:shd w:val="clear" w:color="auto" w:fill="FFFFFF"/>
        <w:spacing w:after="0" w:line="480" w:lineRule="auto"/>
        <w:jc w:val="both"/>
        <w:textAlignment w:val="baseline"/>
        <w:rPr>
          <w:rFonts w:ascii="Times New Roman" w:hAnsi="Times New Roman" w:cs="Times New Roman"/>
          <w:color w:val="000000" w:themeColor="text1"/>
        </w:rPr>
      </w:pPr>
      <w:r w:rsidRPr="00E7090B">
        <w:rPr>
          <w:rFonts w:ascii="Times New Roman" w:hAnsi="Times New Roman" w:cs="Times New Roman"/>
          <w:color w:val="000000" w:themeColor="text1"/>
        </w:rPr>
        <w:t xml:space="preserve">La planta del aloe vera </w:t>
      </w:r>
      <w:r w:rsidRPr="00E7090B">
        <w:rPr>
          <w:rFonts w:ascii="Times New Roman" w:hAnsi="Times New Roman" w:cs="Times New Roman"/>
          <w:bCs/>
          <w:color w:val="000000" w:themeColor="text1"/>
        </w:rPr>
        <w:t xml:space="preserve">pertenece a la división de las plantas de tipo Magnoliophyta, pertenece a la clase de Liliopsida, su orden es Asparagales, corresponde a la familia de los Xanthorrhoeaceae, su subfamilia es Asphodeloidea, el género a que pertenece es el Aloe y su especie se llama Aloe vera, pero su nombre común se llama sábila. Esta planta está conformada por 95% de agua, presenta hojas elongadas y carnosas, llegan a medir hasta 70 cm. En la corteza de la hoja (exocarpio) su parénquima presenta un gel y entre el gel y la corteza de la hoja se localiza los conductos de aloína. Este vegetal también presenta flores de tipo tubular que son colgantes y de color amarillo. Entre su composición química está conformada por galactosa, glucosa y arabinosa unidas a las glucurónicos y ácidos galacturónicos, también está formada por otros tipos de polisacáridos como la fructuosa, azúcares hidrolizables y los compuestos fenólicos como las antraquinonas y las cromonas. </w:t>
      </w:r>
    </w:p>
    <w:p w14:paraId="1E1A388E" w14:textId="77777777" w:rsidR="00032DD2" w:rsidRPr="00E7090B" w:rsidRDefault="00032DD2" w:rsidP="00E7090B">
      <w:pPr>
        <w:pStyle w:val="Prrafodelista"/>
        <w:tabs>
          <w:tab w:val="right" w:pos="709"/>
        </w:tabs>
        <w:spacing w:after="0" w:line="480" w:lineRule="auto"/>
        <w:ind w:left="0"/>
        <w:jc w:val="both"/>
        <w:rPr>
          <w:rFonts w:ascii="Times New Roman" w:hAnsi="Times New Roman" w:cs="Times New Roman"/>
          <w:bCs/>
          <w:color w:val="000000" w:themeColor="text1"/>
        </w:rPr>
      </w:pPr>
      <w:bookmarkStart w:id="1" w:name="_Hlk179557891"/>
      <w:r w:rsidRPr="00E7090B">
        <w:rPr>
          <w:rFonts w:ascii="Times New Roman" w:hAnsi="Times New Roman" w:cs="Times New Roman"/>
        </w:rPr>
        <w:t>La composición química del aloe vera se clasifica de la siguiente manera: Carbohidratos como la glucosa (lactosa, fructuosa, celulosa y xilosa) el cual le da la propiedad antiinflamatorio y antialérgico, ácidos grasos (</w:t>
      </w:r>
      <w:r w:rsidRPr="00E7090B">
        <w:rPr>
          <w:rFonts w:ascii="Times New Roman" w:hAnsi="Times New Roman" w:cs="Times New Roman"/>
          <w:bCs/>
          <w:color w:val="000000" w:themeColor="text1"/>
        </w:rPr>
        <w:t xml:space="preserve">ácido palmítico, ácido linolénico y el fitol) el cual le proporcionan propiedades antioxidantes, enzimas </w:t>
      </w:r>
      <w:r w:rsidRPr="00E7090B">
        <w:rPr>
          <w:rFonts w:ascii="Times New Roman" w:hAnsi="Times New Roman" w:cs="Times New Roman"/>
        </w:rPr>
        <w:t>(</w:t>
      </w:r>
      <w:r w:rsidRPr="00E7090B">
        <w:rPr>
          <w:rFonts w:ascii="Times New Roman" w:hAnsi="Times New Roman" w:cs="Times New Roman"/>
          <w:bCs/>
          <w:color w:val="000000" w:themeColor="text1"/>
        </w:rPr>
        <w:t>Amilasa, catalasa, lipasa, oxidasa, peroxidasa y fosfatasa alcalina</w:t>
      </w:r>
      <w:r w:rsidRPr="00E7090B">
        <w:rPr>
          <w:rFonts w:ascii="Times New Roman" w:hAnsi="Times New Roman" w:cs="Times New Roman"/>
        </w:rPr>
        <w:t>) dándole funcionalidad de reparador del tejido dañado, Aminoácidos (Lisina, leucina, arginina, alanina, isoleucina, histidina, cisteína y ácido aspártico) le da la propiedad inmunológica, vitaminas (</w:t>
      </w:r>
      <w:r w:rsidRPr="00E7090B">
        <w:rPr>
          <w:rFonts w:ascii="Times New Roman" w:hAnsi="Times New Roman" w:cs="Times New Roman"/>
          <w:bCs/>
          <w:color w:val="000000" w:themeColor="text1"/>
        </w:rPr>
        <w:t>A, C, E, B1,B 2,B 6, B9, B12) le da la propiedad antioxidante y proteínas (Flanonoides, alcaloides y esteroles) le da propiedades Antirradical y antioxidante.</w:t>
      </w:r>
    </w:p>
    <w:p w14:paraId="496BE967" w14:textId="77777777" w:rsidR="00032DD2" w:rsidRPr="00E7090B" w:rsidRDefault="00032DD2" w:rsidP="00E7090B">
      <w:pPr>
        <w:pStyle w:val="Prrafodelista"/>
        <w:tabs>
          <w:tab w:val="right" w:pos="709"/>
        </w:tabs>
        <w:spacing w:after="0" w:line="480" w:lineRule="auto"/>
        <w:ind w:left="0"/>
        <w:jc w:val="both"/>
        <w:rPr>
          <w:rFonts w:ascii="Times New Roman" w:hAnsi="Times New Roman" w:cs="Times New Roman"/>
          <w:bCs/>
          <w:color w:val="000000" w:themeColor="text1"/>
        </w:rPr>
      </w:pPr>
      <w:r w:rsidRPr="00E7090B">
        <w:rPr>
          <w:rFonts w:ascii="Times New Roman" w:hAnsi="Times New Roman" w:cs="Times New Roman"/>
          <w:bCs/>
          <w:color w:val="000000" w:themeColor="text1"/>
        </w:rPr>
        <w:t>Entre las propiedades que tiene la planta del Aloe vera son múltiples que destacan son la aceleración de la cicatrización de las heridas, también tiene efectos antimicrobiano, hidratante, antialérgico, antiinflamatorio, antiséptico, entre otros</w:t>
      </w:r>
      <w:r w:rsidRPr="00E7090B">
        <w:rPr>
          <w:rFonts w:ascii="Times New Roman" w:hAnsi="Times New Roman" w:cs="Times New Roman"/>
          <w:bCs/>
          <w:color w:val="000000" w:themeColor="text1"/>
          <w:vertAlign w:val="superscript"/>
        </w:rPr>
        <w:t>11</w:t>
      </w:r>
      <w:r w:rsidRPr="00E7090B">
        <w:rPr>
          <w:rFonts w:ascii="Times New Roman" w:hAnsi="Times New Roman" w:cs="Times New Roman"/>
          <w:bCs/>
          <w:color w:val="000000" w:themeColor="text1"/>
        </w:rPr>
        <w:t xml:space="preserve">. En la industria alimentaria el Aloe vera proporciona beneficios para nuestra salud, así como en la prevenir futuras enfermedades por ser alimentos nutracéuticos. El tipo de Aloe vera arborescens y Aloe vera barbadensis Mill han sido utilizados para elaborar los recubrimientos de las frutas ya que produce etileno el cual permite que la fruta tenga calidad e inhibe la proliferación de microorganismos. Cuando se usa el Aloe vera en gel en la piel tiene propiedades antienvejecimiento, antiirritante, tonificante e hidratante dando un aspecto en la ya que la piel se conserva y da una apariencia vigorosa, de aspecto fresco y humectada. </w:t>
      </w:r>
    </w:p>
    <w:p w14:paraId="51B54BD5" w14:textId="77777777" w:rsidR="00032DD2" w:rsidRPr="00E7090B" w:rsidRDefault="00032DD2" w:rsidP="00E7090B">
      <w:pPr>
        <w:tabs>
          <w:tab w:val="right" w:pos="709"/>
        </w:tabs>
        <w:spacing w:after="0" w:line="480" w:lineRule="auto"/>
        <w:jc w:val="both"/>
        <w:rPr>
          <w:rFonts w:ascii="Times New Roman" w:hAnsi="Times New Roman" w:cs="Times New Roman"/>
          <w:bCs/>
          <w:color w:val="000000" w:themeColor="text1"/>
        </w:rPr>
      </w:pPr>
      <w:r w:rsidRPr="00E7090B">
        <w:rPr>
          <w:rFonts w:ascii="Times New Roman" w:hAnsi="Times New Roman" w:cs="Times New Roman"/>
          <w:bCs/>
          <w:color w:val="000000" w:themeColor="text1"/>
        </w:rPr>
        <w:t>Propiedad antimicrobiana:</w:t>
      </w:r>
      <w:r w:rsidRPr="00E7090B">
        <w:rPr>
          <w:rFonts w:ascii="Times New Roman" w:hAnsi="Times New Roman" w:cs="Times New Roman"/>
          <w:b/>
          <w:color w:val="000000" w:themeColor="text1"/>
        </w:rPr>
        <w:t xml:space="preserve"> </w:t>
      </w:r>
      <w:r w:rsidRPr="00E7090B">
        <w:rPr>
          <w:rFonts w:ascii="Times New Roman" w:hAnsi="Times New Roman" w:cs="Times New Roman"/>
          <w:bCs/>
          <w:color w:val="000000" w:themeColor="text1"/>
        </w:rPr>
        <w:t>Diversos estudios in vitro efectuaron la actividad antimicrobiana del Aloe vera en bacterias orales como las Pseudomonas aeruginosa y la Staphylococcus, también se realizaron estudios en patógenos bucales de pacientes con enfermedades periodontales y con absceso periapical entra las que se incluyen los Streptococcus mutans y el actinobacillus actinomycetemcomitans. El compuesto a base de aloe-emodina tiene actividad antibacteriana contra los Staphylococcus aureus inhibiendo la formación de biopelículas y la elaboración de proteínas extracelulares. Los extractos de Aloe vera en forma de gel también son efectivos contra los Enterococcus faecalis y Lactobacillus spp responsables de las infecciones en los conductos radiculares en los dientes y contra los hongos de la Candida albicans, también el Aloe vera tiene capacidad antiviral contra los virus del herpes simple tipo 1.</w:t>
      </w:r>
    </w:p>
    <w:p w14:paraId="178984C6" w14:textId="77777777" w:rsidR="00032DD2" w:rsidRPr="00E7090B" w:rsidRDefault="00032DD2" w:rsidP="00E7090B">
      <w:pPr>
        <w:tabs>
          <w:tab w:val="right" w:pos="709"/>
        </w:tabs>
        <w:spacing w:after="0" w:line="480" w:lineRule="auto"/>
        <w:jc w:val="both"/>
        <w:rPr>
          <w:rFonts w:ascii="Times New Roman" w:hAnsi="Times New Roman" w:cs="Times New Roman"/>
          <w:bCs/>
          <w:color w:val="000000" w:themeColor="text1"/>
        </w:rPr>
      </w:pPr>
      <w:r w:rsidRPr="00E7090B">
        <w:rPr>
          <w:rFonts w:ascii="Times New Roman" w:hAnsi="Times New Roman" w:cs="Times New Roman"/>
          <w:bCs/>
          <w:color w:val="000000" w:themeColor="text1"/>
        </w:rPr>
        <w:t>Propiedad antinflamatoria:</w:t>
      </w:r>
      <w:r w:rsidRPr="00E7090B">
        <w:rPr>
          <w:rFonts w:ascii="Times New Roman" w:hAnsi="Times New Roman" w:cs="Times New Roman"/>
          <w:b/>
          <w:color w:val="000000" w:themeColor="text1"/>
        </w:rPr>
        <w:t xml:space="preserve"> </w:t>
      </w:r>
      <w:r w:rsidRPr="00E7090B">
        <w:rPr>
          <w:rFonts w:ascii="Times New Roman" w:hAnsi="Times New Roman" w:cs="Times New Roman"/>
          <w:bCs/>
          <w:color w:val="000000" w:themeColor="text1"/>
        </w:rPr>
        <w:t>Esta propiedad del Aloe vera se da gracias a los compuestos biactivos, como el manano acetilado localizado especialmente en preparados para hacer gel de Aloe el cual es semejante a la acción antiinflmatorio de la manosa-6-fosfato por el cual se va unir al factor de crecimiento de fibroblastos para potenciar su actividad a la vez que el Aloe vera inhibe la vía de la ciclooxigenasa para reducir la formación de prostaglandinas y por ende disminuyendo el dolor y la inflamación. Propiedad Cicatrizante:</w:t>
      </w:r>
      <w:r w:rsidRPr="00E7090B">
        <w:rPr>
          <w:rFonts w:ascii="Times New Roman" w:hAnsi="Times New Roman" w:cs="Times New Roman"/>
          <w:b/>
          <w:color w:val="000000" w:themeColor="text1"/>
        </w:rPr>
        <w:t xml:space="preserve"> </w:t>
      </w:r>
      <w:r w:rsidRPr="00E7090B">
        <w:rPr>
          <w:rFonts w:ascii="Times New Roman" w:hAnsi="Times New Roman" w:cs="Times New Roman"/>
          <w:bCs/>
          <w:color w:val="000000" w:themeColor="text1"/>
        </w:rPr>
        <w:t xml:space="preserve">El Aloe vera esta entre las plantas medicinales que dio evidencia sus efectos biológicos en la cicatrización utilizado desde tiempos muy remotos para tratar múltiples enfermedades debido a sus compuestos de carbohidratos, polisacáridos, enzimas, minerales, vitaminas, aminoácidos, hormonas, flavonoides, ácido salicílico y lignina los cuales en su mayoría se localizan en su gel a los que se le reconoce sus actividades biológicas como ser cicatrizante.   </w:t>
      </w:r>
    </w:p>
    <w:p w14:paraId="41524B17" w14:textId="77777777" w:rsidR="00032DD2" w:rsidRPr="00E7090B" w:rsidRDefault="00032DD2" w:rsidP="00E7090B">
      <w:pPr>
        <w:tabs>
          <w:tab w:val="right" w:pos="709"/>
        </w:tabs>
        <w:spacing w:after="0" w:line="480" w:lineRule="auto"/>
        <w:jc w:val="both"/>
        <w:rPr>
          <w:rFonts w:ascii="Times New Roman" w:hAnsi="Times New Roman" w:cs="Times New Roman"/>
          <w:bCs/>
          <w:color w:val="000000" w:themeColor="text1"/>
        </w:rPr>
      </w:pPr>
      <w:r w:rsidRPr="00E7090B">
        <w:rPr>
          <w:rFonts w:ascii="Times New Roman" w:hAnsi="Times New Roman" w:cs="Times New Roman"/>
          <w:bCs/>
          <w:color w:val="000000" w:themeColor="text1"/>
        </w:rPr>
        <w:t>Propiedad hidratante e inmunológico:</w:t>
      </w:r>
      <w:r w:rsidRPr="00E7090B">
        <w:rPr>
          <w:rFonts w:ascii="Times New Roman" w:hAnsi="Times New Roman" w:cs="Times New Roman"/>
          <w:b/>
          <w:color w:val="000000" w:themeColor="text1"/>
        </w:rPr>
        <w:t xml:space="preserve"> </w:t>
      </w:r>
      <w:r w:rsidRPr="00E7090B">
        <w:rPr>
          <w:rFonts w:ascii="Times New Roman" w:hAnsi="Times New Roman" w:cs="Times New Roman"/>
          <w:bCs/>
          <w:color w:val="000000" w:themeColor="text1"/>
        </w:rPr>
        <w:t xml:space="preserve">Esta propiedad del Aloe vera se debe presenta en su gel mucopolisacáridos el cual tiene efecto humectante y a la vez proporciona a la plata la capacidad de reforzar el sistema inmunitario del ser humano. Uno de los mucopolisacáridos presente está el acemanano o acemannan el cual permite reforzar el sistema inmunológico y también estimula a los glóbulos blancos ayudando a activar el sistema circulatorio, regenera las células y permite a desintoxicar el organismo. El Aloe también es estimulante para que los fibroblastos produzcan elastina y fibras colágenas dando a la piel la propiedad a ser más elástica, menos arrugada y suaviza la piel mediante sus aminoácidos y tiene efecto astringente para cerrar los poros gracias a su contenido de zinc.  </w:t>
      </w:r>
    </w:p>
    <w:bookmarkEnd w:id="1"/>
    <w:p w14:paraId="5C6341E7" w14:textId="77777777" w:rsidR="00032DD2" w:rsidRPr="00E7090B" w:rsidRDefault="00032DD2" w:rsidP="00E7090B">
      <w:pPr>
        <w:spacing w:after="0" w:line="480" w:lineRule="auto"/>
        <w:jc w:val="both"/>
        <w:rPr>
          <w:rFonts w:ascii="Times New Roman" w:hAnsi="Times New Roman" w:cs="Times New Roman"/>
          <w:b/>
          <w:bCs/>
        </w:rPr>
      </w:pPr>
      <w:r w:rsidRPr="00E7090B">
        <w:rPr>
          <w:rFonts w:ascii="Times New Roman" w:hAnsi="Times New Roman" w:cs="Times New Roman"/>
          <w:bCs/>
          <w:color w:val="000000" w:themeColor="text1"/>
        </w:rPr>
        <w:t>La fitoterapia en práctica odontoestomatologica se da mediante preparados a base de la sábila para la prevención de enfermedades bucodentales y su tratamiento por sus acciones antimicrobiana, antinflamatoria, inmunológico y cicatrizante de los tejidos. Estudios revelan las acciones fisiológicas y bioquímicas de los compuestos de la sábila con un enfoque clínico que estudia sus interacciones. Se puede describir las acciones del Aloe vera en la práctica estomatológica como tratamiento en cirugías periodontales, en lesiones de la mucosa bucal y/o encías lesionadas, en casos de abrasiones reaccionadas mediante el cepillado, el tipo de pasta dental, el filo del hilo dental o por alimentos cortantes. También podemos aplicar para cicatrizar alveolos después de la extracción dentaria, en el caso de lesiones por el virus del herpes, aftas bucales, grietas en la comisura labial, abscesos en las encías, en enfermedades crónicas bucales por pénfigo benignos, Liquen plano, problemas en la gingiva asociado a leucemia y con el Síndrome de inmunodeficiencia adquirida (SIDA), síndrome de la boca ardiente se alivia con el empleo del gel que está en la planta de la sábila. Finalmente podemos utilizar esta planta medicinal en la consulta odontológica para aliviar las secuelas de las prótesis mal ajustadas y en el caso de implantes dentales.  Como fitofármaco su propiedad antiinflamatorio y cicatrizante se evidencia en la crema aloe al 25% (Barbadencis mil o Aloe vera Linne) en afecciones o lesiones de la mucosa bucal.</w:t>
      </w:r>
    </w:p>
    <w:p w14:paraId="586757DA" w14:textId="77777777" w:rsidR="00032DD2" w:rsidRPr="00E7090B" w:rsidRDefault="00032DD2" w:rsidP="00E7090B">
      <w:pPr>
        <w:spacing w:after="0" w:line="480" w:lineRule="auto"/>
        <w:jc w:val="both"/>
        <w:rPr>
          <w:rFonts w:ascii="Times New Roman" w:hAnsi="Times New Roman" w:cs="Times New Roman"/>
          <w:b/>
          <w:color w:val="000000" w:themeColor="text1"/>
        </w:rPr>
      </w:pPr>
      <w:r w:rsidRPr="00E7090B">
        <w:rPr>
          <w:rFonts w:ascii="Times New Roman" w:hAnsi="Times New Roman" w:cs="Times New Roman"/>
          <w:b/>
          <w:color w:val="000000" w:themeColor="text1"/>
        </w:rPr>
        <w:t>METODOLOGÍA</w:t>
      </w:r>
    </w:p>
    <w:p w14:paraId="5C4EACF0" w14:textId="77777777" w:rsidR="00032DD2" w:rsidRPr="00E7090B" w:rsidRDefault="00032DD2" w:rsidP="00E7090B">
      <w:pPr>
        <w:tabs>
          <w:tab w:val="left" w:pos="4769"/>
        </w:tabs>
        <w:spacing w:after="0" w:line="480" w:lineRule="auto"/>
        <w:jc w:val="both"/>
        <w:rPr>
          <w:rStyle w:val="CharAttribute9"/>
          <w:rFonts w:ascii="Times New Roman" w:hAnsi="Times New Roman" w:cs="Times New Roman"/>
          <w:b w:val="0"/>
          <w:bCs/>
          <w:sz w:val="22"/>
        </w:rPr>
      </w:pPr>
      <w:r w:rsidRPr="00E7090B">
        <w:rPr>
          <w:rStyle w:val="CharAttribute9"/>
          <w:rFonts w:ascii="Times New Roman" w:hAnsi="Times New Roman" w:cs="Times New Roman"/>
          <w:bCs/>
          <w:sz w:val="22"/>
        </w:rPr>
        <w:t>Antes de aplicar nuestros instrumentos se solicitó permiso al director de la institución educativa Divino Maestro para poder intervenir el tercer y el cuarto grado de las secciones A y B de en donde se les explico el motivo de nuestro estudio y se les entregó el consentimiento informado para cada alumno para que puedan firmar los padres de familiar. Una vez que se adjuntó todos los consentimientos firmados de todos los participantes, se empezó a seleccionar los criterios de inclusión y exclusión, luego limitamos nuestra muestra en donde dividimos en dos grupos de 40 estudiantes en cada grupo (grupo A y B).</w:t>
      </w:r>
    </w:p>
    <w:p w14:paraId="1DF292D2" w14:textId="77777777" w:rsidR="00032DD2" w:rsidRPr="00E7090B" w:rsidRDefault="00032DD2" w:rsidP="00E7090B">
      <w:pPr>
        <w:tabs>
          <w:tab w:val="left" w:pos="4769"/>
        </w:tabs>
        <w:spacing w:after="0" w:line="480" w:lineRule="auto"/>
        <w:jc w:val="both"/>
        <w:rPr>
          <w:rFonts w:ascii="Times New Roman" w:eastAsia="Arial" w:hAnsi="Times New Roman" w:cs="Times New Roman"/>
        </w:rPr>
      </w:pPr>
      <w:r w:rsidRPr="00E7090B">
        <w:rPr>
          <w:rStyle w:val="CharAttribute9"/>
          <w:rFonts w:ascii="Times New Roman" w:hAnsi="Times New Roman" w:cs="Times New Roman"/>
          <w:bCs/>
          <w:sz w:val="22"/>
        </w:rPr>
        <w:t>Para elaborar nuestro enjuague bucal a base de aloe vera fue realizada bajo</w:t>
      </w:r>
      <w:r w:rsidRPr="00E7090B">
        <w:rPr>
          <w:rStyle w:val="CharAttribute9"/>
          <w:rFonts w:ascii="Times New Roman" w:hAnsi="Times New Roman" w:cs="Times New Roman"/>
          <w:sz w:val="22"/>
        </w:rPr>
        <w:t xml:space="preserve"> </w:t>
      </w:r>
      <w:r w:rsidRPr="00E7090B">
        <w:rPr>
          <w:rFonts w:ascii="Times New Roman" w:hAnsi="Times New Roman" w:cs="Times New Roman"/>
          <w:bCs/>
        </w:rPr>
        <w:t>la supervisión del químico farmacéutico Elmo Fernando Tineo Camargo, quien es responsable del laboratorio de química farmacéutica del Instituto Tecnológico Hessen de la provincia de Ambo en donde se hizo uso del ambiente, instrumental, máquinas y materiales para elaborar el enjuague bucal de aloe vera al 50%. Los materiales empleados fueron los siguientes:</w:t>
      </w:r>
    </w:p>
    <w:p w14:paraId="11C4DBA2" w14:textId="77777777" w:rsidR="00032DD2" w:rsidRPr="00E7090B" w:rsidRDefault="00032DD2" w:rsidP="00E7090B">
      <w:pPr>
        <w:pStyle w:val="Prrafodelista"/>
        <w:spacing w:after="0" w:line="480" w:lineRule="auto"/>
        <w:ind w:left="0"/>
        <w:jc w:val="both"/>
        <w:rPr>
          <w:rFonts w:ascii="Times New Roman" w:hAnsi="Times New Roman" w:cs="Times New Roman"/>
          <w:bCs/>
        </w:rPr>
      </w:pPr>
      <w:r w:rsidRPr="00E7090B">
        <w:rPr>
          <w:rFonts w:ascii="Times New Roman" w:hAnsi="Times New Roman" w:cs="Times New Roman"/>
          <w:bCs/>
        </w:rPr>
        <w:t>Insumos:</w:t>
      </w:r>
      <w:r w:rsidRPr="00E7090B">
        <w:rPr>
          <w:rFonts w:ascii="Times New Roman" w:hAnsi="Times New Roman" w:cs="Times New Roman"/>
          <w:b/>
        </w:rPr>
        <w:t xml:space="preserve"> </w:t>
      </w:r>
      <w:r w:rsidRPr="00E7090B">
        <w:rPr>
          <w:rFonts w:ascii="Times New Roman" w:hAnsi="Times New Roman" w:cs="Times New Roman"/>
          <w:bCs/>
        </w:rPr>
        <w:t>Sábila, ácido cítrico, sorbato de potasio</w:t>
      </w:r>
      <w:r w:rsidRPr="00E7090B">
        <w:rPr>
          <w:rFonts w:ascii="Times New Roman" w:hAnsi="Times New Roman" w:cs="Times New Roman"/>
          <w:b/>
        </w:rPr>
        <w:t xml:space="preserve">, </w:t>
      </w:r>
      <w:r w:rsidRPr="00E7090B">
        <w:rPr>
          <w:rFonts w:ascii="Times New Roman" w:hAnsi="Times New Roman" w:cs="Times New Roman"/>
          <w:bCs/>
        </w:rPr>
        <w:t>colorante, saborizante (menta)</w:t>
      </w:r>
      <w:r w:rsidRPr="00E7090B">
        <w:rPr>
          <w:rFonts w:ascii="Times New Roman" w:hAnsi="Times New Roman" w:cs="Times New Roman"/>
          <w:b/>
        </w:rPr>
        <w:t xml:space="preserve"> </w:t>
      </w:r>
      <w:r w:rsidRPr="00E7090B">
        <w:rPr>
          <w:rFonts w:ascii="Times New Roman" w:hAnsi="Times New Roman" w:cs="Times New Roman"/>
          <w:bCs/>
        </w:rPr>
        <w:t>y</w:t>
      </w:r>
      <w:r w:rsidRPr="00E7090B">
        <w:rPr>
          <w:rFonts w:ascii="Times New Roman" w:hAnsi="Times New Roman" w:cs="Times New Roman"/>
          <w:b/>
        </w:rPr>
        <w:t xml:space="preserve"> </w:t>
      </w:r>
      <w:r w:rsidRPr="00E7090B">
        <w:rPr>
          <w:rFonts w:ascii="Times New Roman" w:hAnsi="Times New Roman" w:cs="Times New Roman"/>
          <w:bCs/>
        </w:rPr>
        <w:t>gua de mesa.</w:t>
      </w:r>
    </w:p>
    <w:p w14:paraId="25DA0B0C" w14:textId="77777777" w:rsidR="00032DD2" w:rsidRPr="00E7090B" w:rsidRDefault="00032DD2" w:rsidP="00E7090B">
      <w:pPr>
        <w:spacing w:after="0" w:line="480" w:lineRule="auto"/>
        <w:jc w:val="both"/>
        <w:rPr>
          <w:rFonts w:ascii="Times New Roman" w:hAnsi="Times New Roman" w:cs="Times New Roman"/>
          <w:bCs/>
        </w:rPr>
      </w:pPr>
      <w:r w:rsidRPr="00E7090B">
        <w:rPr>
          <w:rFonts w:ascii="Times New Roman" w:hAnsi="Times New Roman" w:cs="Times New Roman"/>
          <w:bCs/>
        </w:rPr>
        <w:t>Materiales de laboratorio:</w:t>
      </w:r>
      <w:r w:rsidRPr="00E7090B">
        <w:rPr>
          <w:rFonts w:ascii="Times New Roman" w:hAnsi="Times New Roman" w:cs="Times New Roman"/>
          <w:b/>
        </w:rPr>
        <w:t xml:space="preserve"> </w:t>
      </w:r>
      <w:r w:rsidRPr="00E7090B">
        <w:rPr>
          <w:rFonts w:ascii="Times New Roman" w:hAnsi="Times New Roman" w:cs="Times New Roman"/>
          <w:bCs/>
        </w:rPr>
        <w:t>Varilla de vidrio, probeta,</w:t>
      </w:r>
      <w:r w:rsidRPr="00E7090B">
        <w:rPr>
          <w:rFonts w:ascii="Times New Roman" w:hAnsi="Times New Roman" w:cs="Times New Roman"/>
          <w:b/>
        </w:rPr>
        <w:t xml:space="preserve"> </w:t>
      </w:r>
      <w:r w:rsidRPr="00E7090B">
        <w:rPr>
          <w:rFonts w:ascii="Times New Roman" w:hAnsi="Times New Roman" w:cs="Times New Roman"/>
          <w:bCs/>
        </w:rPr>
        <w:t>vaso de precipitación, balanza analítica, licuadora y cernidor.</w:t>
      </w:r>
    </w:p>
    <w:p w14:paraId="013A3FC6" w14:textId="44C9D499" w:rsidR="00032DD2" w:rsidRPr="00E7090B" w:rsidRDefault="00032DD2" w:rsidP="00E7090B">
      <w:pPr>
        <w:spacing w:after="0" w:line="480" w:lineRule="auto"/>
        <w:jc w:val="both"/>
        <w:rPr>
          <w:rFonts w:ascii="Times New Roman" w:hAnsi="Times New Roman" w:cs="Times New Roman"/>
          <w:bCs/>
        </w:rPr>
      </w:pPr>
      <w:r w:rsidRPr="00E7090B">
        <w:rPr>
          <w:rFonts w:ascii="Times New Roman" w:hAnsi="Times New Roman" w:cs="Times New Roman"/>
          <w:bCs/>
        </w:rPr>
        <w:t>Materiales de bioseguridad:</w:t>
      </w:r>
      <w:r w:rsidRPr="00E7090B">
        <w:rPr>
          <w:rFonts w:ascii="Times New Roman" w:hAnsi="Times New Roman" w:cs="Times New Roman"/>
          <w:b/>
        </w:rPr>
        <w:t xml:space="preserve"> </w:t>
      </w:r>
      <w:r w:rsidRPr="00E7090B">
        <w:rPr>
          <w:rFonts w:ascii="Times New Roman" w:hAnsi="Times New Roman" w:cs="Times New Roman"/>
          <w:bCs/>
        </w:rPr>
        <w:t>Guantes descartable, mandilón descartable, gorra descartable y campo descartable.</w:t>
      </w:r>
    </w:p>
    <w:p w14:paraId="3E23C712" w14:textId="77777777" w:rsidR="00032DD2" w:rsidRPr="00E7090B" w:rsidRDefault="00032DD2" w:rsidP="00E7090B">
      <w:pPr>
        <w:pStyle w:val="Prrafodelista"/>
        <w:spacing w:after="0" w:line="480" w:lineRule="auto"/>
        <w:ind w:left="0"/>
        <w:jc w:val="both"/>
        <w:rPr>
          <w:rFonts w:ascii="Times New Roman" w:hAnsi="Times New Roman" w:cs="Times New Roman"/>
          <w:bCs/>
        </w:rPr>
      </w:pPr>
      <w:r w:rsidRPr="00E7090B">
        <w:rPr>
          <w:rFonts w:ascii="Times New Roman" w:hAnsi="Times New Roman" w:cs="Times New Roman"/>
          <w:bCs/>
        </w:rPr>
        <w:t>El procedimiento de elaboración se inició con la obtención del gel de la sábila en pequeñas porciones y lo almacenamos en nuestro vaso de precipitación a medida que recolectamos el gel, empezamos a licuar el gel de aloe vera obtenido de a pocos para luego pasarlo por el colador para eliminar residuos y determinamos la cantidad de mililitros del gel obtenido, en donde se obtiene 1000 mililitros el cual equivale a un litro y en seguida lo diluimos con un litro de agua para obtener dos litros de la mezcla. Luego realizamos la formulación de cada insumo a utilizar usando la regla de tres para un volumen de 2000 ml (2 litro), obteniendo la siguiente formula:</w:t>
      </w:r>
    </w:p>
    <w:p w14:paraId="6DB1ED2E" w14:textId="77777777" w:rsidR="00032DD2" w:rsidRPr="00E7090B" w:rsidRDefault="00032DD2" w:rsidP="00CF30F2">
      <w:pPr>
        <w:spacing w:after="0" w:line="240" w:lineRule="auto"/>
        <w:jc w:val="both"/>
        <w:rPr>
          <w:rFonts w:ascii="Times New Roman" w:hAnsi="Times New Roman" w:cs="Times New Roman"/>
          <w:b/>
          <w:color w:val="000000" w:themeColor="text1"/>
          <w:lang w:val="es-ES_tradnl"/>
        </w:rPr>
      </w:pPr>
      <w:bookmarkStart w:id="2" w:name="_Hlk186120748"/>
      <w:r w:rsidRPr="00E7090B">
        <w:rPr>
          <w:rFonts w:ascii="Times New Roman" w:hAnsi="Times New Roman" w:cs="Times New Roman"/>
          <w:b/>
          <w:color w:val="000000" w:themeColor="text1"/>
          <w:lang w:val="es-ES_tradnl"/>
        </w:rPr>
        <w:t xml:space="preserve">Cuadro 1. </w:t>
      </w:r>
      <w:r w:rsidRPr="00E7090B">
        <w:rPr>
          <w:rFonts w:ascii="Times New Roman" w:hAnsi="Times New Roman" w:cs="Times New Roman"/>
          <w:bCs/>
          <w:color w:val="000000" w:themeColor="text1"/>
          <w:lang w:val="es-ES_tradnl"/>
        </w:rPr>
        <w:t>Formulación química de los ingredientes del enjuague de aloe vera</w:t>
      </w:r>
    </w:p>
    <w:tbl>
      <w:tblPr>
        <w:tblStyle w:val="Tablaconcuadrcula"/>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43"/>
        <w:gridCol w:w="2395"/>
      </w:tblGrid>
      <w:tr w:rsidR="00032DD2" w:rsidRPr="00E7090B" w14:paraId="09A90FF5" w14:textId="77777777" w:rsidTr="00CF30F2">
        <w:tc>
          <w:tcPr>
            <w:tcW w:w="3261" w:type="dxa"/>
            <w:shd w:val="clear" w:color="auto" w:fill="D9E2F3" w:themeFill="accent1" w:themeFillTint="33"/>
          </w:tcPr>
          <w:bookmarkEnd w:id="2"/>
          <w:p w14:paraId="32196C59" w14:textId="77777777" w:rsidR="00032DD2" w:rsidRPr="00E7090B" w:rsidRDefault="00032DD2" w:rsidP="00E7090B">
            <w:pPr>
              <w:pStyle w:val="Prrafodelista"/>
              <w:spacing w:line="480" w:lineRule="auto"/>
              <w:ind w:left="0"/>
              <w:jc w:val="both"/>
              <w:rPr>
                <w:rFonts w:ascii="Times New Roman" w:hAnsi="Times New Roman" w:cs="Times New Roman"/>
                <w:b/>
                <w:lang w:val="es-PE"/>
              </w:rPr>
            </w:pPr>
            <w:r w:rsidRPr="00E7090B">
              <w:rPr>
                <w:rFonts w:ascii="Times New Roman" w:hAnsi="Times New Roman" w:cs="Times New Roman"/>
                <w:b/>
                <w:lang w:val="es-PE"/>
              </w:rPr>
              <w:t>Componente</w:t>
            </w:r>
          </w:p>
        </w:tc>
        <w:tc>
          <w:tcPr>
            <w:tcW w:w="2843" w:type="dxa"/>
            <w:shd w:val="clear" w:color="auto" w:fill="D9E2F3" w:themeFill="accent1" w:themeFillTint="33"/>
          </w:tcPr>
          <w:p w14:paraId="145E4F07" w14:textId="77777777" w:rsidR="00032DD2" w:rsidRPr="00E7090B" w:rsidRDefault="00032DD2" w:rsidP="00E7090B">
            <w:pPr>
              <w:pStyle w:val="Prrafodelista"/>
              <w:spacing w:line="480" w:lineRule="auto"/>
              <w:ind w:left="0"/>
              <w:jc w:val="both"/>
              <w:rPr>
                <w:rFonts w:ascii="Times New Roman" w:hAnsi="Times New Roman" w:cs="Times New Roman"/>
                <w:b/>
                <w:lang w:val="es-PE"/>
              </w:rPr>
            </w:pPr>
            <w:r w:rsidRPr="00E7090B">
              <w:rPr>
                <w:rFonts w:ascii="Times New Roman" w:hAnsi="Times New Roman" w:cs="Times New Roman"/>
                <w:b/>
                <w:lang w:val="es-PE"/>
              </w:rPr>
              <w:t>Porcentaje</w:t>
            </w:r>
          </w:p>
        </w:tc>
        <w:tc>
          <w:tcPr>
            <w:tcW w:w="2395" w:type="dxa"/>
            <w:shd w:val="clear" w:color="auto" w:fill="D9E2F3" w:themeFill="accent1" w:themeFillTint="33"/>
          </w:tcPr>
          <w:p w14:paraId="010A77F8" w14:textId="77777777" w:rsidR="00032DD2" w:rsidRPr="00E7090B" w:rsidRDefault="00032DD2" w:rsidP="00E7090B">
            <w:pPr>
              <w:pStyle w:val="Prrafodelista"/>
              <w:spacing w:line="480" w:lineRule="auto"/>
              <w:ind w:left="0"/>
              <w:jc w:val="both"/>
              <w:rPr>
                <w:rFonts w:ascii="Times New Roman" w:hAnsi="Times New Roman" w:cs="Times New Roman"/>
                <w:b/>
                <w:lang w:val="es-PE"/>
              </w:rPr>
            </w:pPr>
            <w:r w:rsidRPr="00E7090B">
              <w:rPr>
                <w:rFonts w:ascii="Times New Roman" w:hAnsi="Times New Roman" w:cs="Times New Roman"/>
                <w:b/>
                <w:lang w:val="es-PE"/>
              </w:rPr>
              <w:t>Cantidad</w:t>
            </w:r>
          </w:p>
        </w:tc>
      </w:tr>
      <w:tr w:rsidR="00032DD2" w:rsidRPr="00E7090B" w14:paraId="3C7A6ABE" w14:textId="77777777" w:rsidTr="00CF30F2">
        <w:tc>
          <w:tcPr>
            <w:tcW w:w="3261" w:type="dxa"/>
          </w:tcPr>
          <w:p w14:paraId="35D5D996"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Aloe vera</w:t>
            </w:r>
          </w:p>
        </w:tc>
        <w:tc>
          <w:tcPr>
            <w:tcW w:w="2843" w:type="dxa"/>
          </w:tcPr>
          <w:p w14:paraId="68091B94"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50%</w:t>
            </w:r>
          </w:p>
        </w:tc>
        <w:tc>
          <w:tcPr>
            <w:tcW w:w="2395" w:type="dxa"/>
          </w:tcPr>
          <w:p w14:paraId="4073FB3F"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1000 ml</w:t>
            </w:r>
          </w:p>
        </w:tc>
      </w:tr>
      <w:tr w:rsidR="00032DD2" w:rsidRPr="00E7090B" w14:paraId="1DE343C1" w14:textId="77777777" w:rsidTr="00CF30F2">
        <w:tc>
          <w:tcPr>
            <w:tcW w:w="3261" w:type="dxa"/>
          </w:tcPr>
          <w:p w14:paraId="3F5DC01C"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 xml:space="preserve">Ácido cítrico </w:t>
            </w:r>
          </w:p>
        </w:tc>
        <w:tc>
          <w:tcPr>
            <w:tcW w:w="2843" w:type="dxa"/>
          </w:tcPr>
          <w:p w14:paraId="0A9FB7C9"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5%</w:t>
            </w:r>
          </w:p>
        </w:tc>
        <w:tc>
          <w:tcPr>
            <w:tcW w:w="2395" w:type="dxa"/>
          </w:tcPr>
          <w:p w14:paraId="2C5A43AE"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1 g</w:t>
            </w:r>
          </w:p>
        </w:tc>
      </w:tr>
      <w:tr w:rsidR="00032DD2" w:rsidRPr="00E7090B" w14:paraId="1CDCBAD6" w14:textId="77777777" w:rsidTr="00CF30F2">
        <w:tc>
          <w:tcPr>
            <w:tcW w:w="3261" w:type="dxa"/>
          </w:tcPr>
          <w:p w14:paraId="32AAF8EA"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 xml:space="preserve">Sorbato de potasio </w:t>
            </w:r>
          </w:p>
        </w:tc>
        <w:tc>
          <w:tcPr>
            <w:tcW w:w="2843" w:type="dxa"/>
          </w:tcPr>
          <w:p w14:paraId="641BEC84"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3%</w:t>
            </w:r>
          </w:p>
        </w:tc>
        <w:tc>
          <w:tcPr>
            <w:tcW w:w="2395" w:type="dxa"/>
          </w:tcPr>
          <w:p w14:paraId="1E4D770C"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0.6 g</w:t>
            </w:r>
          </w:p>
        </w:tc>
      </w:tr>
      <w:tr w:rsidR="00032DD2" w:rsidRPr="00E7090B" w14:paraId="5574F168" w14:textId="77777777" w:rsidTr="00CF30F2">
        <w:tc>
          <w:tcPr>
            <w:tcW w:w="3261" w:type="dxa"/>
          </w:tcPr>
          <w:p w14:paraId="5AF8756A"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Esencia de menta</w:t>
            </w:r>
          </w:p>
        </w:tc>
        <w:tc>
          <w:tcPr>
            <w:tcW w:w="2843" w:type="dxa"/>
          </w:tcPr>
          <w:p w14:paraId="08BD3CE7"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0.2%</w:t>
            </w:r>
          </w:p>
        </w:tc>
        <w:tc>
          <w:tcPr>
            <w:tcW w:w="2395" w:type="dxa"/>
          </w:tcPr>
          <w:p w14:paraId="5ED611C7"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 xml:space="preserve">2 ml </w:t>
            </w:r>
          </w:p>
        </w:tc>
      </w:tr>
      <w:tr w:rsidR="00032DD2" w:rsidRPr="00E7090B" w14:paraId="30E6EC17" w14:textId="77777777" w:rsidTr="00CF30F2">
        <w:trPr>
          <w:trHeight w:val="185"/>
        </w:trPr>
        <w:tc>
          <w:tcPr>
            <w:tcW w:w="3261" w:type="dxa"/>
          </w:tcPr>
          <w:p w14:paraId="025E1520"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Colorante</w:t>
            </w:r>
          </w:p>
        </w:tc>
        <w:tc>
          <w:tcPr>
            <w:tcW w:w="2843" w:type="dxa"/>
          </w:tcPr>
          <w:p w14:paraId="6E5D2724"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0.2%</w:t>
            </w:r>
          </w:p>
        </w:tc>
        <w:tc>
          <w:tcPr>
            <w:tcW w:w="2395" w:type="dxa"/>
          </w:tcPr>
          <w:p w14:paraId="06B38AF7"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2 ml</w:t>
            </w:r>
          </w:p>
        </w:tc>
      </w:tr>
      <w:tr w:rsidR="00032DD2" w:rsidRPr="00E7090B" w14:paraId="2DA3F6F5" w14:textId="77777777" w:rsidTr="00CF30F2">
        <w:trPr>
          <w:trHeight w:val="214"/>
        </w:trPr>
        <w:tc>
          <w:tcPr>
            <w:tcW w:w="3261" w:type="dxa"/>
          </w:tcPr>
          <w:p w14:paraId="25FBF756"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Agua de mesa</w:t>
            </w:r>
          </w:p>
        </w:tc>
        <w:tc>
          <w:tcPr>
            <w:tcW w:w="2843" w:type="dxa"/>
          </w:tcPr>
          <w:p w14:paraId="4E4C74EF"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50%</w:t>
            </w:r>
          </w:p>
        </w:tc>
        <w:tc>
          <w:tcPr>
            <w:tcW w:w="2395" w:type="dxa"/>
          </w:tcPr>
          <w:p w14:paraId="662ED4BB" w14:textId="77777777" w:rsidR="00032DD2" w:rsidRPr="00E7090B" w:rsidRDefault="00032DD2" w:rsidP="00E7090B">
            <w:pPr>
              <w:pStyle w:val="Prrafodelista"/>
              <w:spacing w:line="480" w:lineRule="auto"/>
              <w:ind w:left="0"/>
              <w:jc w:val="both"/>
              <w:rPr>
                <w:rFonts w:ascii="Times New Roman" w:hAnsi="Times New Roman" w:cs="Times New Roman"/>
                <w:bCs/>
                <w:lang w:val="es-PE"/>
              </w:rPr>
            </w:pPr>
            <w:r w:rsidRPr="00E7090B">
              <w:rPr>
                <w:rFonts w:ascii="Times New Roman" w:hAnsi="Times New Roman" w:cs="Times New Roman"/>
                <w:bCs/>
                <w:lang w:val="es-PE"/>
              </w:rPr>
              <w:t>1000 ml</w:t>
            </w:r>
          </w:p>
        </w:tc>
      </w:tr>
    </w:tbl>
    <w:p w14:paraId="3FCF7558" w14:textId="4EB9E782" w:rsidR="00032DD2" w:rsidRPr="00CF30F2" w:rsidRDefault="00032DD2" w:rsidP="00E7090B">
      <w:pPr>
        <w:tabs>
          <w:tab w:val="right" w:pos="9360"/>
        </w:tabs>
        <w:spacing w:after="0" w:line="480" w:lineRule="auto"/>
        <w:jc w:val="both"/>
        <w:rPr>
          <w:rFonts w:ascii="Times New Roman" w:hAnsi="Times New Roman" w:cs="Times New Roman"/>
          <w:bCs/>
          <w:sz w:val="18"/>
          <w:szCs w:val="18"/>
        </w:rPr>
      </w:pPr>
      <w:r w:rsidRPr="00CF30F2">
        <w:rPr>
          <w:rFonts w:ascii="Times New Roman" w:hAnsi="Times New Roman" w:cs="Times New Roman"/>
          <w:bCs/>
          <w:sz w:val="18"/>
          <w:szCs w:val="18"/>
        </w:rPr>
        <w:t>Nota.</w:t>
      </w:r>
      <w:r w:rsidRPr="00CF30F2">
        <w:rPr>
          <w:rFonts w:ascii="Times New Roman" w:hAnsi="Times New Roman" w:cs="Times New Roman"/>
          <w:b/>
          <w:sz w:val="18"/>
          <w:szCs w:val="18"/>
        </w:rPr>
        <w:t xml:space="preserve"> </w:t>
      </w:r>
      <w:r w:rsidRPr="00CF30F2">
        <w:rPr>
          <w:rFonts w:ascii="Times New Roman" w:hAnsi="Times New Roman" w:cs="Times New Roman"/>
          <w:bCs/>
          <w:sz w:val="18"/>
          <w:szCs w:val="18"/>
        </w:rPr>
        <w:t>Elaborado por el propio autor de la investigación 2024.</w:t>
      </w:r>
    </w:p>
    <w:p w14:paraId="14D59261" w14:textId="77777777" w:rsidR="00032DD2" w:rsidRPr="00E7090B" w:rsidRDefault="00032DD2" w:rsidP="00E7090B">
      <w:pPr>
        <w:pStyle w:val="Prrafodelista"/>
        <w:spacing w:after="0" w:line="480" w:lineRule="auto"/>
        <w:ind w:left="0"/>
        <w:jc w:val="both"/>
        <w:rPr>
          <w:rFonts w:ascii="Times New Roman" w:hAnsi="Times New Roman" w:cs="Times New Roman"/>
          <w:bCs/>
        </w:rPr>
      </w:pPr>
    </w:p>
    <w:p w14:paraId="605D4BCF" w14:textId="77777777" w:rsidR="00032DD2" w:rsidRPr="00E7090B" w:rsidRDefault="00032DD2" w:rsidP="00E7090B">
      <w:pPr>
        <w:spacing w:after="0" w:line="480" w:lineRule="auto"/>
        <w:jc w:val="both"/>
        <w:rPr>
          <w:rFonts w:ascii="Times New Roman" w:hAnsi="Times New Roman" w:cs="Times New Roman"/>
          <w:bCs/>
        </w:rPr>
      </w:pPr>
      <w:r w:rsidRPr="00E7090B">
        <w:rPr>
          <w:rFonts w:ascii="Times New Roman" w:hAnsi="Times New Roman" w:cs="Times New Roman"/>
          <w:bCs/>
        </w:rPr>
        <w:t>Una vez obtenida la mezcla de dos litros (1000 ml o 1 litro de aloe vera y 1000 ml o 1 litro de agua de mesa). Empezamos a pesar nuestras muestras en la balanza analítica, 1 g de ácido cítrico y 0.6 g de sorbato de potasio, luego lo diluimos con 5 ml de nuestra mezcla de aloe vera para volver a verte en dicha mezcla, luego añadimos la esencia de menta y el colorante un 1 ml por cada litro de mezcla de cada uno. Como resultado final obtenemos nuestro enjuague bucal de aloe vera al 50%, luego empezamos a mediar 250 ml de enjuague bucal en nuestra probeta, procedemos a embotellar nuestro enjuague bucal en una botella descartable. Los dos litros de enjuague bucal de aloe vera alcanzo para 8 botellas. Finalmente embalamos nuestro enjuague bucal con una duración de 6 meses y nuestro lote de producción fue 08122023.</w:t>
      </w:r>
    </w:p>
    <w:p w14:paraId="7C834E1F" w14:textId="77777777" w:rsidR="00032DD2" w:rsidRPr="00E7090B" w:rsidRDefault="00032DD2" w:rsidP="00E7090B">
      <w:pPr>
        <w:spacing w:after="0" w:line="480" w:lineRule="auto"/>
        <w:jc w:val="both"/>
        <w:rPr>
          <w:rStyle w:val="CharAttribute9"/>
          <w:rFonts w:ascii="Times New Roman" w:hAnsi="Times New Roman" w:cs="Times New Roman"/>
          <w:b w:val="0"/>
          <w:bCs/>
          <w:sz w:val="22"/>
        </w:rPr>
      </w:pPr>
      <w:r w:rsidRPr="00E7090B">
        <w:rPr>
          <w:rStyle w:val="CharAttribute9"/>
          <w:rFonts w:ascii="Times New Roman" w:hAnsi="Times New Roman" w:cs="Times New Roman"/>
          <w:bCs/>
          <w:sz w:val="22"/>
        </w:rPr>
        <w:t xml:space="preserve">Una vez obtenidos nuestros dos tipos de enjuagues bucales nos dirigimos a la institución educativa para poder aplicarlos en los alumnos del cuarto grado los cuales conformaron el grupo A en donde se le aplico el enjuague de aloe vera al 50% y a la aplicación del de clorhexidina al 0.12% se les aplico al grupo B los cuales estuvieron formados por los estudiantes del tercer grado.  </w:t>
      </w:r>
    </w:p>
    <w:p w14:paraId="710AC023" w14:textId="77777777" w:rsidR="00032DD2" w:rsidRPr="00E7090B" w:rsidRDefault="00032DD2" w:rsidP="00E7090B">
      <w:pPr>
        <w:tabs>
          <w:tab w:val="left" w:pos="4769"/>
        </w:tabs>
        <w:spacing w:after="0" w:line="480" w:lineRule="auto"/>
        <w:jc w:val="both"/>
        <w:rPr>
          <w:rStyle w:val="CharAttribute9"/>
          <w:rFonts w:ascii="Times New Roman" w:hAnsi="Times New Roman" w:cs="Times New Roman"/>
          <w:b w:val="0"/>
          <w:bCs/>
          <w:sz w:val="22"/>
        </w:rPr>
      </w:pPr>
      <w:r w:rsidRPr="00E7090B">
        <w:rPr>
          <w:rStyle w:val="CharAttribute9"/>
          <w:rFonts w:ascii="Times New Roman" w:hAnsi="Times New Roman" w:cs="Times New Roman"/>
          <w:bCs/>
          <w:sz w:val="22"/>
        </w:rPr>
        <w:t>Antes de empezar aplicar los enjuagues bucales, se empezó a registrar el IHO-S en nuestro instrumento, luego se les proporciono un vaso descartable a cada estudiante para que puedan recibir 5 ml de enjuague bucal a cada grupo correspondiente y se les pidió que hicieran buches de 30 segundos y luego escupirlos. Lego de haber utilizado los enjuagues bucales de aloe vera y clorhexidina se volvió a registrar el IHO-S, todo este procedimiento se hizo todos los días por 5 días consecutivos</w:t>
      </w:r>
      <w:r w:rsidRPr="00E7090B">
        <w:rPr>
          <w:rStyle w:val="CharAttribute9"/>
          <w:rFonts w:ascii="Times New Roman" w:hAnsi="Times New Roman" w:cs="Times New Roman"/>
          <w:sz w:val="22"/>
        </w:rPr>
        <w:t xml:space="preserve"> </w:t>
      </w:r>
      <w:r w:rsidRPr="00E7090B">
        <w:rPr>
          <w:rStyle w:val="CharAttribute9"/>
          <w:rFonts w:ascii="Times New Roman" w:hAnsi="Times New Roman" w:cs="Times New Roman"/>
          <w:bCs/>
          <w:sz w:val="22"/>
        </w:rPr>
        <w:t>después del receso, pero el registro del IHO-S se realizó en el primer, segundo y tercer día.</w:t>
      </w:r>
    </w:p>
    <w:p w14:paraId="4479DFD2" w14:textId="77777777" w:rsidR="00032DD2" w:rsidRPr="00E7090B" w:rsidRDefault="00032DD2" w:rsidP="00E7090B">
      <w:pPr>
        <w:pStyle w:val="Ttulo1"/>
        <w:spacing w:before="0" w:after="0" w:line="480" w:lineRule="auto"/>
        <w:jc w:val="both"/>
        <w:rPr>
          <w:rFonts w:ascii="Times New Roman" w:hAnsi="Times New Roman" w:cs="Times New Roman"/>
          <w:b/>
          <w:bCs/>
          <w:color w:val="000000" w:themeColor="text1"/>
          <w:sz w:val="22"/>
          <w:szCs w:val="22"/>
        </w:rPr>
      </w:pPr>
      <w:bookmarkStart w:id="3" w:name="_Toc186130344"/>
      <w:r w:rsidRPr="00E7090B">
        <w:rPr>
          <w:rFonts w:ascii="Times New Roman" w:hAnsi="Times New Roman" w:cs="Times New Roman"/>
          <w:b/>
          <w:bCs/>
          <w:color w:val="000000" w:themeColor="text1"/>
          <w:sz w:val="22"/>
          <w:szCs w:val="22"/>
        </w:rPr>
        <w:t>RESULTADOS</w:t>
      </w:r>
      <w:bookmarkEnd w:id="3"/>
      <w:r w:rsidRPr="00E7090B">
        <w:rPr>
          <w:rFonts w:ascii="Times New Roman" w:hAnsi="Times New Roman" w:cs="Times New Roman"/>
          <w:b/>
          <w:bCs/>
          <w:color w:val="000000" w:themeColor="text1"/>
          <w:sz w:val="22"/>
          <w:szCs w:val="22"/>
        </w:rPr>
        <w:t xml:space="preserve"> Y DISCUSIÓN</w:t>
      </w:r>
    </w:p>
    <w:p w14:paraId="2F0089C3" w14:textId="77777777" w:rsidR="00032DD2" w:rsidRPr="00E7090B" w:rsidRDefault="00032DD2" w:rsidP="001F199F">
      <w:pPr>
        <w:spacing w:after="0" w:line="240" w:lineRule="auto"/>
        <w:jc w:val="both"/>
        <w:rPr>
          <w:rFonts w:ascii="Times New Roman" w:hAnsi="Times New Roman" w:cs="Times New Roman"/>
        </w:rPr>
      </w:pPr>
      <w:bookmarkStart w:id="4" w:name="_Hlk186121086"/>
      <w:r w:rsidRPr="00E7090B">
        <w:rPr>
          <w:rFonts w:ascii="Times New Roman" w:hAnsi="Times New Roman" w:cs="Times New Roman"/>
          <w:b/>
          <w:bCs/>
        </w:rPr>
        <w:t xml:space="preserve">Tabla 1. </w:t>
      </w:r>
      <w:r w:rsidRPr="00E7090B">
        <w:rPr>
          <w:rFonts w:ascii="Times New Roman" w:hAnsi="Times New Roman" w:cs="Times New Roman"/>
        </w:rPr>
        <w:t>Resultados descriptivos de medias del antes y después del uso del aloe vera al 50%.</w:t>
      </w:r>
    </w:p>
    <w:tbl>
      <w:tblPr>
        <w:tblW w:w="8680" w:type="dxa"/>
        <w:tblCellMar>
          <w:left w:w="70" w:type="dxa"/>
          <w:right w:w="70" w:type="dxa"/>
        </w:tblCellMar>
        <w:tblLook w:val="04A0" w:firstRow="1" w:lastRow="0" w:firstColumn="1" w:lastColumn="0" w:noHBand="0" w:noVBand="1"/>
      </w:tblPr>
      <w:tblGrid>
        <w:gridCol w:w="1766"/>
        <w:gridCol w:w="1773"/>
        <w:gridCol w:w="1795"/>
        <w:gridCol w:w="1536"/>
        <w:gridCol w:w="1664"/>
        <w:gridCol w:w="146"/>
      </w:tblGrid>
      <w:tr w:rsidR="00032DD2" w:rsidRPr="00E7090B" w14:paraId="07B34899" w14:textId="77777777" w:rsidTr="001F199F">
        <w:trPr>
          <w:gridAfter w:val="1"/>
          <w:wAfter w:w="146" w:type="dxa"/>
          <w:trHeight w:val="525"/>
        </w:trPr>
        <w:tc>
          <w:tcPr>
            <w:tcW w:w="1766" w:type="dxa"/>
            <w:vMerge w:val="restart"/>
            <w:tcBorders>
              <w:top w:val="single" w:sz="8" w:space="0" w:color="auto"/>
              <w:left w:val="nil"/>
              <w:bottom w:val="single" w:sz="8" w:space="0" w:color="000000"/>
              <w:right w:val="nil"/>
            </w:tcBorders>
            <w:vAlign w:val="center"/>
            <w:hideMark/>
          </w:tcPr>
          <w:bookmarkEnd w:id="4"/>
          <w:p w14:paraId="39A0D76C"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IHO-S</w:t>
            </w:r>
          </w:p>
        </w:tc>
        <w:tc>
          <w:tcPr>
            <w:tcW w:w="3568" w:type="dxa"/>
            <w:gridSpan w:val="2"/>
            <w:tcBorders>
              <w:top w:val="single" w:sz="8" w:space="0" w:color="auto"/>
              <w:left w:val="nil"/>
              <w:bottom w:val="single" w:sz="8" w:space="0" w:color="auto"/>
              <w:right w:val="nil"/>
            </w:tcBorders>
            <w:vAlign w:val="center"/>
            <w:hideMark/>
          </w:tcPr>
          <w:p w14:paraId="6A751263"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ANTES</w:t>
            </w:r>
          </w:p>
        </w:tc>
        <w:tc>
          <w:tcPr>
            <w:tcW w:w="3200" w:type="dxa"/>
            <w:gridSpan w:val="2"/>
            <w:tcBorders>
              <w:top w:val="single" w:sz="8" w:space="0" w:color="auto"/>
              <w:left w:val="nil"/>
              <w:bottom w:val="single" w:sz="8" w:space="0" w:color="auto"/>
              <w:right w:val="nil"/>
            </w:tcBorders>
            <w:vAlign w:val="center"/>
            <w:hideMark/>
          </w:tcPr>
          <w:p w14:paraId="284F5D19"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DESPUÉS</w:t>
            </w:r>
          </w:p>
        </w:tc>
      </w:tr>
      <w:tr w:rsidR="00032DD2" w:rsidRPr="00E7090B" w14:paraId="1A1DA417" w14:textId="77777777" w:rsidTr="001F199F">
        <w:trPr>
          <w:gridAfter w:val="1"/>
          <w:wAfter w:w="146" w:type="dxa"/>
          <w:trHeight w:val="508"/>
        </w:trPr>
        <w:tc>
          <w:tcPr>
            <w:tcW w:w="1766" w:type="dxa"/>
            <w:vMerge/>
            <w:tcBorders>
              <w:top w:val="single" w:sz="8" w:space="0" w:color="auto"/>
              <w:left w:val="nil"/>
              <w:bottom w:val="single" w:sz="8" w:space="0" w:color="000000"/>
              <w:right w:val="nil"/>
            </w:tcBorders>
            <w:vAlign w:val="center"/>
            <w:hideMark/>
          </w:tcPr>
          <w:p w14:paraId="03F4D81F"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p>
        </w:tc>
        <w:tc>
          <w:tcPr>
            <w:tcW w:w="1773" w:type="dxa"/>
            <w:vMerge w:val="restart"/>
            <w:tcBorders>
              <w:top w:val="nil"/>
              <w:left w:val="nil"/>
              <w:bottom w:val="nil"/>
              <w:right w:val="nil"/>
            </w:tcBorders>
            <w:vAlign w:val="center"/>
            <w:hideMark/>
          </w:tcPr>
          <w:p w14:paraId="6313DC20"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w:t>
            </w:r>
            <w:r w:rsidRPr="00E7090B">
              <w:rPr>
                <w:rFonts w:ascii="Times New Roman" w:eastAsia="Times New Roman" w:hAnsi="Times New Roman" w:cs="Times New Roman"/>
                <w:color w:val="000000"/>
                <w:lang w:eastAsia="es-PE"/>
              </w:rPr>
              <w:br/>
              <w:t>Absoluta</w:t>
            </w:r>
          </w:p>
        </w:tc>
        <w:tc>
          <w:tcPr>
            <w:tcW w:w="1795" w:type="dxa"/>
            <w:vMerge w:val="restart"/>
            <w:tcBorders>
              <w:top w:val="nil"/>
              <w:left w:val="nil"/>
              <w:bottom w:val="nil"/>
              <w:right w:val="nil"/>
            </w:tcBorders>
            <w:vAlign w:val="center"/>
            <w:hideMark/>
          </w:tcPr>
          <w:p w14:paraId="0BF0A0AE"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 Porcentual</w:t>
            </w:r>
          </w:p>
        </w:tc>
        <w:tc>
          <w:tcPr>
            <w:tcW w:w="1536" w:type="dxa"/>
            <w:vMerge w:val="restart"/>
            <w:tcBorders>
              <w:top w:val="nil"/>
              <w:left w:val="nil"/>
              <w:bottom w:val="nil"/>
              <w:right w:val="nil"/>
            </w:tcBorders>
            <w:vAlign w:val="center"/>
            <w:hideMark/>
          </w:tcPr>
          <w:p w14:paraId="2950D9A7"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w:t>
            </w:r>
            <w:r w:rsidRPr="00E7090B">
              <w:rPr>
                <w:rFonts w:ascii="Times New Roman" w:eastAsia="Times New Roman" w:hAnsi="Times New Roman" w:cs="Times New Roman"/>
                <w:color w:val="000000"/>
                <w:lang w:eastAsia="es-PE"/>
              </w:rPr>
              <w:br/>
              <w:t>Absoluta</w:t>
            </w:r>
          </w:p>
        </w:tc>
        <w:tc>
          <w:tcPr>
            <w:tcW w:w="1664" w:type="dxa"/>
            <w:vMerge w:val="restart"/>
            <w:tcBorders>
              <w:top w:val="nil"/>
              <w:left w:val="nil"/>
              <w:bottom w:val="nil"/>
              <w:right w:val="nil"/>
            </w:tcBorders>
            <w:vAlign w:val="center"/>
            <w:hideMark/>
          </w:tcPr>
          <w:p w14:paraId="1DBA961D"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 Porcentual</w:t>
            </w:r>
          </w:p>
        </w:tc>
      </w:tr>
      <w:tr w:rsidR="00032DD2" w:rsidRPr="00E7090B" w14:paraId="28635543" w14:textId="77777777" w:rsidTr="001F199F">
        <w:trPr>
          <w:trHeight w:val="420"/>
        </w:trPr>
        <w:tc>
          <w:tcPr>
            <w:tcW w:w="1766" w:type="dxa"/>
            <w:vMerge/>
            <w:tcBorders>
              <w:top w:val="single" w:sz="8" w:space="0" w:color="auto"/>
              <w:left w:val="nil"/>
              <w:bottom w:val="single" w:sz="8" w:space="0" w:color="000000"/>
              <w:right w:val="nil"/>
            </w:tcBorders>
            <w:vAlign w:val="center"/>
            <w:hideMark/>
          </w:tcPr>
          <w:p w14:paraId="7E2CB9C1"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p>
        </w:tc>
        <w:tc>
          <w:tcPr>
            <w:tcW w:w="1773" w:type="dxa"/>
            <w:vMerge/>
            <w:tcBorders>
              <w:top w:val="nil"/>
              <w:left w:val="nil"/>
              <w:bottom w:val="nil"/>
              <w:right w:val="nil"/>
            </w:tcBorders>
            <w:vAlign w:val="center"/>
            <w:hideMark/>
          </w:tcPr>
          <w:p w14:paraId="14DF122F"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795" w:type="dxa"/>
            <w:vMerge/>
            <w:tcBorders>
              <w:top w:val="nil"/>
              <w:left w:val="nil"/>
              <w:bottom w:val="nil"/>
              <w:right w:val="nil"/>
            </w:tcBorders>
            <w:vAlign w:val="center"/>
            <w:hideMark/>
          </w:tcPr>
          <w:p w14:paraId="4CC94C4C"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536" w:type="dxa"/>
            <w:vMerge/>
            <w:tcBorders>
              <w:top w:val="nil"/>
              <w:left w:val="nil"/>
              <w:bottom w:val="nil"/>
              <w:right w:val="nil"/>
            </w:tcBorders>
            <w:vAlign w:val="center"/>
            <w:hideMark/>
          </w:tcPr>
          <w:p w14:paraId="6180D46D"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664" w:type="dxa"/>
            <w:vMerge/>
            <w:tcBorders>
              <w:top w:val="nil"/>
              <w:left w:val="nil"/>
              <w:bottom w:val="nil"/>
              <w:right w:val="nil"/>
            </w:tcBorders>
            <w:vAlign w:val="center"/>
            <w:hideMark/>
          </w:tcPr>
          <w:p w14:paraId="26624B1E"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46" w:type="dxa"/>
            <w:tcBorders>
              <w:top w:val="nil"/>
              <w:left w:val="nil"/>
              <w:bottom w:val="nil"/>
              <w:right w:val="nil"/>
            </w:tcBorders>
            <w:noWrap/>
            <w:vAlign w:val="bottom"/>
            <w:hideMark/>
          </w:tcPr>
          <w:p w14:paraId="23E8787F"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r>
      <w:tr w:rsidR="00032DD2" w:rsidRPr="00E7090B" w14:paraId="37BC5898" w14:textId="77777777" w:rsidTr="001F199F">
        <w:trPr>
          <w:trHeight w:val="375"/>
        </w:trPr>
        <w:tc>
          <w:tcPr>
            <w:tcW w:w="1766" w:type="dxa"/>
            <w:vMerge/>
            <w:tcBorders>
              <w:top w:val="single" w:sz="8" w:space="0" w:color="auto"/>
              <w:left w:val="nil"/>
              <w:bottom w:val="single" w:sz="8" w:space="0" w:color="000000"/>
              <w:right w:val="nil"/>
            </w:tcBorders>
            <w:vAlign w:val="center"/>
            <w:hideMark/>
          </w:tcPr>
          <w:p w14:paraId="05CABCDE"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p>
        </w:tc>
        <w:tc>
          <w:tcPr>
            <w:tcW w:w="1773" w:type="dxa"/>
            <w:tcBorders>
              <w:top w:val="nil"/>
              <w:left w:val="nil"/>
              <w:bottom w:val="single" w:sz="8" w:space="0" w:color="auto"/>
              <w:right w:val="nil"/>
            </w:tcBorders>
            <w:vAlign w:val="center"/>
            <w:hideMark/>
          </w:tcPr>
          <w:p w14:paraId="4DBC35BD"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(ni)</w:t>
            </w:r>
          </w:p>
        </w:tc>
        <w:tc>
          <w:tcPr>
            <w:tcW w:w="1795" w:type="dxa"/>
            <w:tcBorders>
              <w:top w:val="nil"/>
              <w:left w:val="nil"/>
              <w:bottom w:val="single" w:sz="8" w:space="0" w:color="auto"/>
              <w:right w:val="nil"/>
            </w:tcBorders>
            <w:vAlign w:val="center"/>
            <w:hideMark/>
          </w:tcPr>
          <w:p w14:paraId="48666A21"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(fi=ni/N en %)</w:t>
            </w:r>
          </w:p>
        </w:tc>
        <w:tc>
          <w:tcPr>
            <w:tcW w:w="1536" w:type="dxa"/>
            <w:tcBorders>
              <w:top w:val="nil"/>
              <w:left w:val="nil"/>
              <w:bottom w:val="single" w:sz="8" w:space="0" w:color="auto"/>
              <w:right w:val="nil"/>
            </w:tcBorders>
            <w:vAlign w:val="center"/>
            <w:hideMark/>
          </w:tcPr>
          <w:p w14:paraId="1C023EFE"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(ni)</w:t>
            </w:r>
          </w:p>
        </w:tc>
        <w:tc>
          <w:tcPr>
            <w:tcW w:w="1664" w:type="dxa"/>
            <w:tcBorders>
              <w:top w:val="nil"/>
              <w:left w:val="nil"/>
              <w:bottom w:val="single" w:sz="8" w:space="0" w:color="auto"/>
              <w:right w:val="nil"/>
            </w:tcBorders>
            <w:vAlign w:val="center"/>
            <w:hideMark/>
          </w:tcPr>
          <w:p w14:paraId="1D37694C"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(fi=ni/N en %)</w:t>
            </w:r>
          </w:p>
        </w:tc>
        <w:tc>
          <w:tcPr>
            <w:tcW w:w="146" w:type="dxa"/>
            <w:vAlign w:val="center"/>
            <w:hideMark/>
          </w:tcPr>
          <w:p w14:paraId="71CF45F9"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6FC81C08" w14:textId="77777777" w:rsidTr="001F199F">
        <w:trPr>
          <w:trHeight w:val="330"/>
        </w:trPr>
        <w:tc>
          <w:tcPr>
            <w:tcW w:w="1766" w:type="dxa"/>
            <w:tcBorders>
              <w:top w:val="nil"/>
              <w:left w:val="nil"/>
              <w:bottom w:val="nil"/>
              <w:right w:val="nil"/>
            </w:tcBorders>
            <w:vAlign w:val="center"/>
            <w:hideMark/>
          </w:tcPr>
          <w:p w14:paraId="4F9F91DD"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Muy malo</w:t>
            </w:r>
          </w:p>
        </w:tc>
        <w:tc>
          <w:tcPr>
            <w:tcW w:w="1773" w:type="dxa"/>
            <w:tcBorders>
              <w:top w:val="nil"/>
              <w:left w:val="nil"/>
              <w:bottom w:val="nil"/>
              <w:right w:val="nil"/>
            </w:tcBorders>
            <w:noWrap/>
            <w:vAlign w:val="center"/>
            <w:hideMark/>
          </w:tcPr>
          <w:p w14:paraId="37ABB28A"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16</w:t>
            </w:r>
          </w:p>
        </w:tc>
        <w:tc>
          <w:tcPr>
            <w:tcW w:w="1795" w:type="dxa"/>
            <w:tcBorders>
              <w:top w:val="nil"/>
              <w:left w:val="nil"/>
              <w:bottom w:val="nil"/>
              <w:right w:val="nil"/>
            </w:tcBorders>
            <w:vAlign w:val="center"/>
            <w:hideMark/>
          </w:tcPr>
          <w:p w14:paraId="50ED1726"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40.0%</w:t>
            </w:r>
          </w:p>
        </w:tc>
        <w:tc>
          <w:tcPr>
            <w:tcW w:w="1536" w:type="dxa"/>
            <w:tcBorders>
              <w:top w:val="nil"/>
              <w:left w:val="nil"/>
              <w:bottom w:val="nil"/>
              <w:right w:val="nil"/>
            </w:tcBorders>
            <w:noWrap/>
            <w:vAlign w:val="center"/>
            <w:hideMark/>
          </w:tcPr>
          <w:p w14:paraId="329DDD6E"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w:t>
            </w:r>
          </w:p>
        </w:tc>
        <w:tc>
          <w:tcPr>
            <w:tcW w:w="1664" w:type="dxa"/>
            <w:tcBorders>
              <w:top w:val="nil"/>
              <w:left w:val="nil"/>
              <w:bottom w:val="nil"/>
              <w:right w:val="nil"/>
            </w:tcBorders>
            <w:vAlign w:val="center"/>
            <w:hideMark/>
          </w:tcPr>
          <w:p w14:paraId="6D448985"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2.5%</w:t>
            </w:r>
          </w:p>
        </w:tc>
        <w:tc>
          <w:tcPr>
            <w:tcW w:w="146" w:type="dxa"/>
            <w:vAlign w:val="center"/>
            <w:hideMark/>
          </w:tcPr>
          <w:p w14:paraId="795C94DF"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7429444F" w14:textId="77777777" w:rsidTr="001F199F">
        <w:trPr>
          <w:trHeight w:val="330"/>
        </w:trPr>
        <w:tc>
          <w:tcPr>
            <w:tcW w:w="1766" w:type="dxa"/>
            <w:tcBorders>
              <w:top w:val="nil"/>
              <w:left w:val="nil"/>
              <w:bottom w:val="nil"/>
              <w:right w:val="nil"/>
            </w:tcBorders>
            <w:vAlign w:val="center"/>
            <w:hideMark/>
          </w:tcPr>
          <w:p w14:paraId="6AE843D5"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Malo</w:t>
            </w:r>
          </w:p>
        </w:tc>
        <w:tc>
          <w:tcPr>
            <w:tcW w:w="1773" w:type="dxa"/>
            <w:tcBorders>
              <w:top w:val="nil"/>
              <w:left w:val="nil"/>
              <w:bottom w:val="nil"/>
              <w:right w:val="nil"/>
            </w:tcBorders>
            <w:noWrap/>
            <w:vAlign w:val="center"/>
            <w:hideMark/>
          </w:tcPr>
          <w:p w14:paraId="6B7F35FE"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21</w:t>
            </w:r>
          </w:p>
        </w:tc>
        <w:tc>
          <w:tcPr>
            <w:tcW w:w="1795" w:type="dxa"/>
            <w:tcBorders>
              <w:top w:val="nil"/>
              <w:left w:val="nil"/>
              <w:bottom w:val="nil"/>
              <w:right w:val="nil"/>
            </w:tcBorders>
            <w:vAlign w:val="center"/>
            <w:hideMark/>
          </w:tcPr>
          <w:p w14:paraId="0A47359B"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52.5%</w:t>
            </w:r>
          </w:p>
        </w:tc>
        <w:tc>
          <w:tcPr>
            <w:tcW w:w="1536" w:type="dxa"/>
            <w:tcBorders>
              <w:top w:val="nil"/>
              <w:left w:val="nil"/>
              <w:bottom w:val="nil"/>
              <w:right w:val="nil"/>
            </w:tcBorders>
            <w:noWrap/>
            <w:vAlign w:val="center"/>
            <w:hideMark/>
          </w:tcPr>
          <w:p w14:paraId="68E0372D"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8</w:t>
            </w:r>
          </w:p>
        </w:tc>
        <w:tc>
          <w:tcPr>
            <w:tcW w:w="1664" w:type="dxa"/>
            <w:tcBorders>
              <w:top w:val="nil"/>
              <w:left w:val="nil"/>
              <w:bottom w:val="nil"/>
              <w:right w:val="nil"/>
            </w:tcBorders>
            <w:vAlign w:val="center"/>
            <w:hideMark/>
          </w:tcPr>
          <w:p w14:paraId="7CB19834"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20.0%</w:t>
            </w:r>
          </w:p>
        </w:tc>
        <w:tc>
          <w:tcPr>
            <w:tcW w:w="146" w:type="dxa"/>
            <w:vAlign w:val="center"/>
            <w:hideMark/>
          </w:tcPr>
          <w:p w14:paraId="44290172"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1B7EBB43" w14:textId="77777777" w:rsidTr="001F199F">
        <w:trPr>
          <w:trHeight w:val="330"/>
        </w:trPr>
        <w:tc>
          <w:tcPr>
            <w:tcW w:w="1766" w:type="dxa"/>
            <w:tcBorders>
              <w:top w:val="nil"/>
              <w:left w:val="nil"/>
              <w:bottom w:val="nil"/>
              <w:right w:val="nil"/>
            </w:tcBorders>
            <w:vAlign w:val="center"/>
            <w:hideMark/>
          </w:tcPr>
          <w:p w14:paraId="6E2E78FE"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Regular</w:t>
            </w:r>
          </w:p>
        </w:tc>
        <w:tc>
          <w:tcPr>
            <w:tcW w:w="1773" w:type="dxa"/>
            <w:tcBorders>
              <w:top w:val="nil"/>
              <w:left w:val="nil"/>
              <w:bottom w:val="nil"/>
              <w:right w:val="nil"/>
            </w:tcBorders>
            <w:noWrap/>
            <w:vAlign w:val="center"/>
            <w:hideMark/>
          </w:tcPr>
          <w:p w14:paraId="07E49081"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3</w:t>
            </w:r>
          </w:p>
        </w:tc>
        <w:tc>
          <w:tcPr>
            <w:tcW w:w="1795" w:type="dxa"/>
            <w:tcBorders>
              <w:top w:val="nil"/>
              <w:left w:val="nil"/>
              <w:bottom w:val="nil"/>
              <w:right w:val="nil"/>
            </w:tcBorders>
            <w:vAlign w:val="center"/>
            <w:hideMark/>
          </w:tcPr>
          <w:p w14:paraId="66884B73"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7.5%</w:t>
            </w:r>
          </w:p>
        </w:tc>
        <w:tc>
          <w:tcPr>
            <w:tcW w:w="1536" w:type="dxa"/>
            <w:tcBorders>
              <w:top w:val="nil"/>
              <w:left w:val="nil"/>
              <w:bottom w:val="nil"/>
              <w:right w:val="nil"/>
            </w:tcBorders>
            <w:noWrap/>
            <w:vAlign w:val="center"/>
            <w:hideMark/>
          </w:tcPr>
          <w:p w14:paraId="15C36986"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29</w:t>
            </w:r>
          </w:p>
        </w:tc>
        <w:tc>
          <w:tcPr>
            <w:tcW w:w="1664" w:type="dxa"/>
            <w:tcBorders>
              <w:top w:val="nil"/>
              <w:left w:val="nil"/>
              <w:bottom w:val="nil"/>
              <w:right w:val="nil"/>
            </w:tcBorders>
            <w:vAlign w:val="center"/>
            <w:hideMark/>
          </w:tcPr>
          <w:p w14:paraId="04B3FEFE"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72.5%</w:t>
            </w:r>
          </w:p>
        </w:tc>
        <w:tc>
          <w:tcPr>
            <w:tcW w:w="146" w:type="dxa"/>
            <w:vAlign w:val="center"/>
            <w:hideMark/>
          </w:tcPr>
          <w:p w14:paraId="084A0A6D"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1F4B72A7" w14:textId="77777777" w:rsidTr="001F199F">
        <w:trPr>
          <w:trHeight w:val="330"/>
        </w:trPr>
        <w:tc>
          <w:tcPr>
            <w:tcW w:w="1766" w:type="dxa"/>
            <w:tcBorders>
              <w:top w:val="nil"/>
              <w:left w:val="nil"/>
              <w:bottom w:val="single" w:sz="8" w:space="0" w:color="auto"/>
              <w:right w:val="nil"/>
            </w:tcBorders>
            <w:vAlign w:val="center"/>
            <w:hideMark/>
          </w:tcPr>
          <w:p w14:paraId="67E2ADA3"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Óptimo</w:t>
            </w:r>
          </w:p>
        </w:tc>
        <w:tc>
          <w:tcPr>
            <w:tcW w:w="1773" w:type="dxa"/>
            <w:tcBorders>
              <w:top w:val="nil"/>
              <w:left w:val="nil"/>
              <w:bottom w:val="single" w:sz="8" w:space="0" w:color="auto"/>
              <w:right w:val="nil"/>
            </w:tcBorders>
            <w:noWrap/>
            <w:vAlign w:val="center"/>
            <w:hideMark/>
          </w:tcPr>
          <w:p w14:paraId="7E2C3E2C"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0</w:t>
            </w:r>
          </w:p>
        </w:tc>
        <w:tc>
          <w:tcPr>
            <w:tcW w:w="1795" w:type="dxa"/>
            <w:tcBorders>
              <w:top w:val="nil"/>
              <w:left w:val="nil"/>
              <w:bottom w:val="single" w:sz="8" w:space="0" w:color="auto"/>
              <w:right w:val="nil"/>
            </w:tcBorders>
            <w:vAlign w:val="center"/>
            <w:hideMark/>
          </w:tcPr>
          <w:p w14:paraId="025A16C6"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0.0%</w:t>
            </w:r>
          </w:p>
        </w:tc>
        <w:tc>
          <w:tcPr>
            <w:tcW w:w="1536" w:type="dxa"/>
            <w:tcBorders>
              <w:top w:val="nil"/>
              <w:left w:val="nil"/>
              <w:bottom w:val="single" w:sz="8" w:space="0" w:color="auto"/>
              <w:right w:val="nil"/>
            </w:tcBorders>
            <w:noWrap/>
            <w:vAlign w:val="center"/>
            <w:hideMark/>
          </w:tcPr>
          <w:p w14:paraId="552855E9"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2</w:t>
            </w:r>
          </w:p>
        </w:tc>
        <w:tc>
          <w:tcPr>
            <w:tcW w:w="1664" w:type="dxa"/>
            <w:tcBorders>
              <w:top w:val="nil"/>
              <w:left w:val="nil"/>
              <w:bottom w:val="single" w:sz="8" w:space="0" w:color="auto"/>
              <w:right w:val="nil"/>
            </w:tcBorders>
            <w:vAlign w:val="center"/>
            <w:hideMark/>
          </w:tcPr>
          <w:p w14:paraId="0774BD64"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5.0%</w:t>
            </w:r>
          </w:p>
        </w:tc>
        <w:tc>
          <w:tcPr>
            <w:tcW w:w="146" w:type="dxa"/>
            <w:vAlign w:val="center"/>
            <w:hideMark/>
          </w:tcPr>
          <w:p w14:paraId="24926578"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4FF421D0" w14:textId="77777777" w:rsidTr="001F199F">
        <w:trPr>
          <w:trHeight w:val="540"/>
        </w:trPr>
        <w:tc>
          <w:tcPr>
            <w:tcW w:w="1766" w:type="dxa"/>
            <w:tcBorders>
              <w:top w:val="nil"/>
              <w:left w:val="nil"/>
              <w:bottom w:val="single" w:sz="8" w:space="0" w:color="auto"/>
              <w:right w:val="nil"/>
            </w:tcBorders>
            <w:vAlign w:val="center"/>
            <w:hideMark/>
          </w:tcPr>
          <w:p w14:paraId="2C7A4424"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Total=(f)</w:t>
            </w:r>
          </w:p>
        </w:tc>
        <w:tc>
          <w:tcPr>
            <w:tcW w:w="1773" w:type="dxa"/>
            <w:tcBorders>
              <w:top w:val="nil"/>
              <w:left w:val="nil"/>
              <w:bottom w:val="single" w:sz="8" w:space="0" w:color="auto"/>
              <w:right w:val="nil"/>
            </w:tcBorders>
            <w:vAlign w:val="center"/>
            <w:hideMark/>
          </w:tcPr>
          <w:p w14:paraId="6994D9E4"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40</w:t>
            </w:r>
          </w:p>
        </w:tc>
        <w:tc>
          <w:tcPr>
            <w:tcW w:w="1795" w:type="dxa"/>
            <w:tcBorders>
              <w:top w:val="nil"/>
              <w:left w:val="nil"/>
              <w:bottom w:val="single" w:sz="8" w:space="0" w:color="auto"/>
              <w:right w:val="nil"/>
            </w:tcBorders>
            <w:vAlign w:val="center"/>
            <w:hideMark/>
          </w:tcPr>
          <w:p w14:paraId="0E77DE3E"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100%</w:t>
            </w:r>
          </w:p>
        </w:tc>
        <w:tc>
          <w:tcPr>
            <w:tcW w:w="1536" w:type="dxa"/>
            <w:tcBorders>
              <w:top w:val="nil"/>
              <w:left w:val="nil"/>
              <w:bottom w:val="single" w:sz="8" w:space="0" w:color="auto"/>
              <w:right w:val="nil"/>
            </w:tcBorders>
            <w:vAlign w:val="center"/>
            <w:hideMark/>
          </w:tcPr>
          <w:p w14:paraId="27959EE8"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40</w:t>
            </w:r>
          </w:p>
        </w:tc>
        <w:tc>
          <w:tcPr>
            <w:tcW w:w="1664" w:type="dxa"/>
            <w:tcBorders>
              <w:top w:val="nil"/>
              <w:left w:val="nil"/>
              <w:bottom w:val="single" w:sz="8" w:space="0" w:color="auto"/>
              <w:right w:val="nil"/>
            </w:tcBorders>
            <w:vAlign w:val="center"/>
            <w:hideMark/>
          </w:tcPr>
          <w:p w14:paraId="31FDEE78"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100%</w:t>
            </w:r>
          </w:p>
        </w:tc>
        <w:tc>
          <w:tcPr>
            <w:tcW w:w="146" w:type="dxa"/>
            <w:vAlign w:val="center"/>
            <w:hideMark/>
          </w:tcPr>
          <w:p w14:paraId="75B2304E"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bl>
    <w:p w14:paraId="63C1FD9B" w14:textId="77777777" w:rsidR="00032DD2" w:rsidRPr="001F199F" w:rsidRDefault="00032DD2" w:rsidP="00E7090B">
      <w:pPr>
        <w:spacing w:after="0" w:line="480" w:lineRule="auto"/>
        <w:jc w:val="both"/>
        <w:rPr>
          <w:rFonts w:ascii="Times New Roman" w:hAnsi="Times New Roman" w:cs="Times New Roman"/>
          <w:sz w:val="18"/>
          <w:szCs w:val="18"/>
        </w:rPr>
      </w:pPr>
      <w:r w:rsidRPr="001F199F">
        <w:rPr>
          <w:rFonts w:ascii="Times New Roman" w:hAnsi="Times New Roman" w:cs="Times New Roman"/>
          <w:sz w:val="18"/>
          <w:szCs w:val="18"/>
        </w:rPr>
        <w:t>Nota. Escala de promedio del antes y después del enjuague del aloe vera al 50%</w:t>
      </w:r>
    </w:p>
    <w:p w14:paraId="192C8089" w14:textId="77777777" w:rsidR="001F199F" w:rsidRPr="00E7090B" w:rsidRDefault="001F199F" w:rsidP="00E7090B">
      <w:pPr>
        <w:spacing w:after="0" w:line="480" w:lineRule="auto"/>
        <w:jc w:val="both"/>
        <w:rPr>
          <w:rFonts w:ascii="Times New Roman" w:hAnsi="Times New Roman" w:cs="Times New Roman"/>
        </w:rPr>
      </w:pPr>
    </w:p>
    <w:p w14:paraId="295CED3D" w14:textId="5B4BBDCB" w:rsidR="001F199F" w:rsidRDefault="00032DD2" w:rsidP="001F199F">
      <w:pPr>
        <w:spacing w:after="0" w:line="480" w:lineRule="auto"/>
        <w:jc w:val="both"/>
        <w:rPr>
          <w:rFonts w:ascii="Times New Roman" w:hAnsi="Times New Roman" w:cs="Times New Roman"/>
          <w:b/>
          <w:bCs/>
        </w:rPr>
      </w:pPr>
      <w:r w:rsidRPr="00E7090B">
        <w:rPr>
          <w:rFonts w:ascii="Times New Roman" w:hAnsi="Times New Roman" w:cs="Times New Roman"/>
        </w:rPr>
        <w:t>En la tabla 1 se muestra los resultados promedios del antes y después del uso del aloe vera al 50%, en donde el 40% (16) tuvieron un IHO-S muy malo, seguido del 52.5% (21) que mostraron ser malo, el 7.5% (3) fue regular y finalmente no se obtuvieron IHO-S óptima. Luego de emplear enjuague bucal con aloe vera al 50% a la misma muestra, se obtuvo que el 2.5 % (1) obtuvieron un IHO-S muy malo, el 20% (8) mostró ser mala, el 72.5% (29) se evidencio ser regular y solo 5 % (2) resultaron tener un IHO-S óptima.</w:t>
      </w:r>
      <w:r w:rsidRPr="00E7090B">
        <w:rPr>
          <w:rFonts w:ascii="Times New Roman" w:hAnsi="Times New Roman" w:cs="Times New Roman"/>
          <w:b/>
          <w:bCs/>
        </w:rPr>
        <w:t xml:space="preserve"> </w:t>
      </w:r>
      <w:r w:rsidRPr="00E7090B">
        <w:rPr>
          <w:rFonts w:ascii="Times New Roman" w:hAnsi="Times New Roman" w:cs="Times New Roman"/>
        </w:rPr>
        <w:t>Dichos resultados nos muestran que el uso de enjuague bucal con aloe vera al 50% mejoró la reducción de placa bacteriana, dado que la eficacia en el IHO-S regular se incrementó en un 65% y en la óptima en un 5%.</w:t>
      </w:r>
      <w:bookmarkStart w:id="5" w:name="_Hlk186121185"/>
      <w:r w:rsidR="001F199F">
        <w:rPr>
          <w:rFonts w:ascii="Times New Roman" w:hAnsi="Times New Roman" w:cs="Times New Roman"/>
          <w:b/>
          <w:bCs/>
        </w:rPr>
        <w:br w:type="page"/>
      </w:r>
    </w:p>
    <w:p w14:paraId="56A8B2A2" w14:textId="5630CE08" w:rsidR="00032DD2" w:rsidRPr="00E7090B" w:rsidRDefault="00032DD2" w:rsidP="00CE433A">
      <w:pPr>
        <w:spacing w:after="0" w:line="240" w:lineRule="auto"/>
        <w:jc w:val="both"/>
        <w:rPr>
          <w:rFonts w:ascii="Times New Roman" w:hAnsi="Times New Roman" w:cs="Times New Roman"/>
        </w:rPr>
      </w:pPr>
      <w:r w:rsidRPr="00E7090B">
        <w:rPr>
          <w:rFonts w:ascii="Times New Roman" w:hAnsi="Times New Roman" w:cs="Times New Roman"/>
          <w:b/>
          <w:bCs/>
        </w:rPr>
        <w:t xml:space="preserve">Tabla 2. </w:t>
      </w:r>
      <w:r w:rsidRPr="00E7090B">
        <w:rPr>
          <w:rFonts w:ascii="Times New Roman" w:hAnsi="Times New Roman" w:cs="Times New Roman"/>
        </w:rPr>
        <w:t>Resultados descriptivos medias del antes y después del uso clorhexidina 0.12%</w:t>
      </w:r>
    </w:p>
    <w:tbl>
      <w:tblPr>
        <w:tblW w:w="8680" w:type="dxa"/>
        <w:tblCellMar>
          <w:left w:w="70" w:type="dxa"/>
          <w:right w:w="70" w:type="dxa"/>
        </w:tblCellMar>
        <w:tblLook w:val="04A0" w:firstRow="1" w:lastRow="0" w:firstColumn="1" w:lastColumn="0" w:noHBand="0" w:noVBand="1"/>
      </w:tblPr>
      <w:tblGrid>
        <w:gridCol w:w="1759"/>
        <w:gridCol w:w="1773"/>
        <w:gridCol w:w="1797"/>
        <w:gridCol w:w="1536"/>
        <w:gridCol w:w="1669"/>
        <w:gridCol w:w="146"/>
      </w:tblGrid>
      <w:tr w:rsidR="00032DD2" w:rsidRPr="00E7090B" w14:paraId="562CEDC7" w14:textId="77777777" w:rsidTr="007607FD">
        <w:trPr>
          <w:gridAfter w:val="1"/>
          <w:wAfter w:w="146" w:type="dxa"/>
          <w:trHeight w:val="525"/>
        </w:trPr>
        <w:tc>
          <w:tcPr>
            <w:tcW w:w="1759" w:type="dxa"/>
            <w:vMerge w:val="restart"/>
            <w:tcBorders>
              <w:top w:val="single" w:sz="8" w:space="0" w:color="auto"/>
              <w:left w:val="nil"/>
              <w:bottom w:val="single" w:sz="8" w:space="0" w:color="000000"/>
              <w:right w:val="nil"/>
            </w:tcBorders>
            <w:vAlign w:val="center"/>
            <w:hideMark/>
          </w:tcPr>
          <w:bookmarkEnd w:id="5"/>
          <w:p w14:paraId="20D9DE2D"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 xml:space="preserve">IHO-S  </w:t>
            </w:r>
          </w:p>
        </w:tc>
        <w:tc>
          <w:tcPr>
            <w:tcW w:w="3570" w:type="dxa"/>
            <w:gridSpan w:val="2"/>
            <w:tcBorders>
              <w:top w:val="single" w:sz="8" w:space="0" w:color="auto"/>
              <w:left w:val="nil"/>
              <w:bottom w:val="single" w:sz="8" w:space="0" w:color="auto"/>
              <w:right w:val="nil"/>
            </w:tcBorders>
            <w:vAlign w:val="center"/>
            <w:hideMark/>
          </w:tcPr>
          <w:p w14:paraId="612D1859"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ANTES</w:t>
            </w:r>
          </w:p>
        </w:tc>
        <w:tc>
          <w:tcPr>
            <w:tcW w:w="3205" w:type="dxa"/>
            <w:gridSpan w:val="2"/>
            <w:tcBorders>
              <w:top w:val="single" w:sz="8" w:space="0" w:color="auto"/>
              <w:left w:val="nil"/>
              <w:bottom w:val="single" w:sz="8" w:space="0" w:color="auto"/>
              <w:right w:val="nil"/>
            </w:tcBorders>
            <w:vAlign w:val="center"/>
            <w:hideMark/>
          </w:tcPr>
          <w:p w14:paraId="1A0BEA6C"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DESPUÉS</w:t>
            </w:r>
          </w:p>
        </w:tc>
      </w:tr>
      <w:tr w:rsidR="00032DD2" w:rsidRPr="00E7090B" w14:paraId="05AC7A9A" w14:textId="77777777" w:rsidTr="007607FD">
        <w:trPr>
          <w:gridAfter w:val="1"/>
          <w:wAfter w:w="146" w:type="dxa"/>
          <w:trHeight w:val="508"/>
        </w:trPr>
        <w:tc>
          <w:tcPr>
            <w:tcW w:w="1759" w:type="dxa"/>
            <w:vMerge/>
            <w:tcBorders>
              <w:top w:val="single" w:sz="8" w:space="0" w:color="auto"/>
              <w:left w:val="nil"/>
              <w:bottom w:val="single" w:sz="8" w:space="0" w:color="000000"/>
              <w:right w:val="nil"/>
            </w:tcBorders>
            <w:vAlign w:val="center"/>
            <w:hideMark/>
          </w:tcPr>
          <w:p w14:paraId="14AABC25"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p>
        </w:tc>
        <w:tc>
          <w:tcPr>
            <w:tcW w:w="1773" w:type="dxa"/>
            <w:vMerge w:val="restart"/>
            <w:tcBorders>
              <w:top w:val="nil"/>
              <w:left w:val="nil"/>
              <w:bottom w:val="nil"/>
              <w:right w:val="nil"/>
            </w:tcBorders>
            <w:vAlign w:val="center"/>
            <w:hideMark/>
          </w:tcPr>
          <w:p w14:paraId="75008A8A"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w:t>
            </w:r>
            <w:r w:rsidRPr="00E7090B">
              <w:rPr>
                <w:rFonts w:ascii="Times New Roman" w:eastAsia="Times New Roman" w:hAnsi="Times New Roman" w:cs="Times New Roman"/>
                <w:color w:val="000000"/>
                <w:lang w:eastAsia="es-PE"/>
              </w:rPr>
              <w:br/>
              <w:t>Absoluta</w:t>
            </w:r>
          </w:p>
        </w:tc>
        <w:tc>
          <w:tcPr>
            <w:tcW w:w="1797" w:type="dxa"/>
            <w:vMerge w:val="restart"/>
            <w:tcBorders>
              <w:top w:val="nil"/>
              <w:left w:val="nil"/>
              <w:bottom w:val="nil"/>
              <w:right w:val="nil"/>
            </w:tcBorders>
            <w:vAlign w:val="center"/>
            <w:hideMark/>
          </w:tcPr>
          <w:p w14:paraId="30CFCBB1"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 Porcentual</w:t>
            </w:r>
          </w:p>
        </w:tc>
        <w:tc>
          <w:tcPr>
            <w:tcW w:w="1536" w:type="dxa"/>
            <w:vMerge w:val="restart"/>
            <w:tcBorders>
              <w:top w:val="nil"/>
              <w:left w:val="nil"/>
              <w:bottom w:val="nil"/>
              <w:right w:val="nil"/>
            </w:tcBorders>
            <w:vAlign w:val="center"/>
            <w:hideMark/>
          </w:tcPr>
          <w:p w14:paraId="2EC60D02"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w:t>
            </w:r>
            <w:r w:rsidRPr="00E7090B">
              <w:rPr>
                <w:rFonts w:ascii="Times New Roman" w:eastAsia="Times New Roman" w:hAnsi="Times New Roman" w:cs="Times New Roman"/>
                <w:color w:val="000000"/>
                <w:lang w:eastAsia="es-PE"/>
              </w:rPr>
              <w:br/>
              <w:t>Absoluta</w:t>
            </w:r>
          </w:p>
        </w:tc>
        <w:tc>
          <w:tcPr>
            <w:tcW w:w="1669" w:type="dxa"/>
            <w:vMerge w:val="restart"/>
            <w:tcBorders>
              <w:top w:val="nil"/>
              <w:left w:val="nil"/>
              <w:bottom w:val="nil"/>
              <w:right w:val="nil"/>
            </w:tcBorders>
            <w:vAlign w:val="center"/>
            <w:hideMark/>
          </w:tcPr>
          <w:p w14:paraId="7EEDD90B"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Frecuencia Porcentual</w:t>
            </w:r>
          </w:p>
        </w:tc>
      </w:tr>
      <w:tr w:rsidR="00032DD2" w:rsidRPr="00E7090B" w14:paraId="72325E5B" w14:textId="77777777" w:rsidTr="007607FD">
        <w:trPr>
          <w:trHeight w:val="420"/>
        </w:trPr>
        <w:tc>
          <w:tcPr>
            <w:tcW w:w="1759" w:type="dxa"/>
            <w:vMerge/>
            <w:tcBorders>
              <w:top w:val="single" w:sz="8" w:space="0" w:color="auto"/>
              <w:left w:val="nil"/>
              <w:bottom w:val="single" w:sz="8" w:space="0" w:color="000000"/>
              <w:right w:val="nil"/>
            </w:tcBorders>
            <w:vAlign w:val="center"/>
            <w:hideMark/>
          </w:tcPr>
          <w:p w14:paraId="44E8264F"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p>
        </w:tc>
        <w:tc>
          <w:tcPr>
            <w:tcW w:w="1773" w:type="dxa"/>
            <w:vMerge/>
            <w:tcBorders>
              <w:top w:val="nil"/>
              <w:left w:val="nil"/>
              <w:bottom w:val="nil"/>
              <w:right w:val="nil"/>
            </w:tcBorders>
            <w:vAlign w:val="center"/>
            <w:hideMark/>
          </w:tcPr>
          <w:p w14:paraId="19127FAA"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797" w:type="dxa"/>
            <w:vMerge/>
            <w:tcBorders>
              <w:top w:val="nil"/>
              <w:left w:val="nil"/>
              <w:bottom w:val="nil"/>
              <w:right w:val="nil"/>
            </w:tcBorders>
            <w:vAlign w:val="center"/>
            <w:hideMark/>
          </w:tcPr>
          <w:p w14:paraId="75B863DD"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536" w:type="dxa"/>
            <w:vMerge/>
            <w:tcBorders>
              <w:top w:val="nil"/>
              <w:left w:val="nil"/>
              <w:bottom w:val="nil"/>
              <w:right w:val="nil"/>
            </w:tcBorders>
            <w:vAlign w:val="center"/>
            <w:hideMark/>
          </w:tcPr>
          <w:p w14:paraId="3DDBFD96"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669" w:type="dxa"/>
            <w:vMerge/>
            <w:tcBorders>
              <w:top w:val="nil"/>
              <w:left w:val="nil"/>
              <w:bottom w:val="nil"/>
              <w:right w:val="nil"/>
            </w:tcBorders>
            <w:vAlign w:val="center"/>
            <w:hideMark/>
          </w:tcPr>
          <w:p w14:paraId="3B9C3756"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c>
          <w:tcPr>
            <w:tcW w:w="146" w:type="dxa"/>
            <w:tcBorders>
              <w:top w:val="nil"/>
              <w:left w:val="nil"/>
              <w:bottom w:val="nil"/>
              <w:right w:val="nil"/>
            </w:tcBorders>
            <w:noWrap/>
            <w:vAlign w:val="bottom"/>
            <w:hideMark/>
          </w:tcPr>
          <w:p w14:paraId="7303C1E5"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p>
        </w:tc>
      </w:tr>
      <w:tr w:rsidR="00032DD2" w:rsidRPr="00E7090B" w14:paraId="2C04DC36" w14:textId="77777777" w:rsidTr="007607FD">
        <w:trPr>
          <w:trHeight w:val="375"/>
        </w:trPr>
        <w:tc>
          <w:tcPr>
            <w:tcW w:w="1759" w:type="dxa"/>
            <w:vMerge/>
            <w:tcBorders>
              <w:top w:val="single" w:sz="8" w:space="0" w:color="auto"/>
              <w:left w:val="nil"/>
              <w:bottom w:val="single" w:sz="8" w:space="0" w:color="000000"/>
              <w:right w:val="nil"/>
            </w:tcBorders>
            <w:vAlign w:val="center"/>
            <w:hideMark/>
          </w:tcPr>
          <w:p w14:paraId="115AC61E"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p>
        </w:tc>
        <w:tc>
          <w:tcPr>
            <w:tcW w:w="1773" w:type="dxa"/>
            <w:tcBorders>
              <w:top w:val="nil"/>
              <w:left w:val="nil"/>
              <w:bottom w:val="single" w:sz="8" w:space="0" w:color="auto"/>
              <w:right w:val="nil"/>
            </w:tcBorders>
            <w:vAlign w:val="center"/>
            <w:hideMark/>
          </w:tcPr>
          <w:p w14:paraId="626F2684"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(ni)</w:t>
            </w:r>
          </w:p>
        </w:tc>
        <w:tc>
          <w:tcPr>
            <w:tcW w:w="1797" w:type="dxa"/>
            <w:tcBorders>
              <w:top w:val="nil"/>
              <w:left w:val="nil"/>
              <w:bottom w:val="single" w:sz="8" w:space="0" w:color="auto"/>
              <w:right w:val="nil"/>
            </w:tcBorders>
            <w:vAlign w:val="center"/>
            <w:hideMark/>
          </w:tcPr>
          <w:p w14:paraId="5D2589F1"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(fi=ni/N en %)</w:t>
            </w:r>
          </w:p>
        </w:tc>
        <w:tc>
          <w:tcPr>
            <w:tcW w:w="1536" w:type="dxa"/>
            <w:tcBorders>
              <w:top w:val="nil"/>
              <w:left w:val="nil"/>
              <w:bottom w:val="single" w:sz="8" w:space="0" w:color="auto"/>
              <w:right w:val="nil"/>
            </w:tcBorders>
            <w:vAlign w:val="center"/>
            <w:hideMark/>
          </w:tcPr>
          <w:p w14:paraId="0429C34A"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(ni)</w:t>
            </w:r>
          </w:p>
        </w:tc>
        <w:tc>
          <w:tcPr>
            <w:tcW w:w="1669" w:type="dxa"/>
            <w:tcBorders>
              <w:top w:val="nil"/>
              <w:left w:val="nil"/>
              <w:bottom w:val="single" w:sz="8" w:space="0" w:color="auto"/>
              <w:right w:val="nil"/>
            </w:tcBorders>
            <w:vAlign w:val="center"/>
            <w:hideMark/>
          </w:tcPr>
          <w:p w14:paraId="51358E1A"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(fi=ni/N en %)</w:t>
            </w:r>
          </w:p>
        </w:tc>
        <w:tc>
          <w:tcPr>
            <w:tcW w:w="146" w:type="dxa"/>
            <w:vAlign w:val="center"/>
            <w:hideMark/>
          </w:tcPr>
          <w:p w14:paraId="0E995955"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1D68786B" w14:textId="77777777" w:rsidTr="007607FD">
        <w:trPr>
          <w:trHeight w:val="330"/>
        </w:trPr>
        <w:tc>
          <w:tcPr>
            <w:tcW w:w="1759" w:type="dxa"/>
            <w:tcBorders>
              <w:top w:val="nil"/>
              <w:left w:val="nil"/>
              <w:bottom w:val="nil"/>
              <w:right w:val="nil"/>
            </w:tcBorders>
            <w:vAlign w:val="center"/>
            <w:hideMark/>
          </w:tcPr>
          <w:p w14:paraId="5180BE49"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Muy malo</w:t>
            </w:r>
          </w:p>
        </w:tc>
        <w:tc>
          <w:tcPr>
            <w:tcW w:w="1773" w:type="dxa"/>
            <w:tcBorders>
              <w:top w:val="nil"/>
              <w:left w:val="nil"/>
              <w:bottom w:val="nil"/>
              <w:right w:val="nil"/>
            </w:tcBorders>
            <w:noWrap/>
            <w:vAlign w:val="center"/>
            <w:hideMark/>
          </w:tcPr>
          <w:p w14:paraId="5310D8F9"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19</w:t>
            </w:r>
          </w:p>
        </w:tc>
        <w:tc>
          <w:tcPr>
            <w:tcW w:w="1797" w:type="dxa"/>
            <w:tcBorders>
              <w:top w:val="nil"/>
              <w:left w:val="nil"/>
              <w:bottom w:val="nil"/>
              <w:right w:val="nil"/>
            </w:tcBorders>
            <w:vAlign w:val="center"/>
            <w:hideMark/>
          </w:tcPr>
          <w:p w14:paraId="4860BC39"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47.5%</w:t>
            </w:r>
          </w:p>
        </w:tc>
        <w:tc>
          <w:tcPr>
            <w:tcW w:w="1536" w:type="dxa"/>
            <w:tcBorders>
              <w:top w:val="nil"/>
              <w:left w:val="nil"/>
              <w:bottom w:val="nil"/>
              <w:right w:val="nil"/>
            </w:tcBorders>
            <w:noWrap/>
            <w:vAlign w:val="center"/>
            <w:hideMark/>
          </w:tcPr>
          <w:p w14:paraId="4221A289"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0</w:t>
            </w:r>
          </w:p>
        </w:tc>
        <w:tc>
          <w:tcPr>
            <w:tcW w:w="1669" w:type="dxa"/>
            <w:tcBorders>
              <w:top w:val="nil"/>
              <w:left w:val="nil"/>
              <w:bottom w:val="nil"/>
              <w:right w:val="nil"/>
            </w:tcBorders>
            <w:vAlign w:val="center"/>
            <w:hideMark/>
          </w:tcPr>
          <w:p w14:paraId="1F6534B8"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0.0%</w:t>
            </w:r>
          </w:p>
        </w:tc>
        <w:tc>
          <w:tcPr>
            <w:tcW w:w="146" w:type="dxa"/>
            <w:vAlign w:val="center"/>
            <w:hideMark/>
          </w:tcPr>
          <w:p w14:paraId="08A42D3F"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42403497" w14:textId="77777777" w:rsidTr="007607FD">
        <w:trPr>
          <w:trHeight w:val="330"/>
        </w:trPr>
        <w:tc>
          <w:tcPr>
            <w:tcW w:w="1759" w:type="dxa"/>
            <w:tcBorders>
              <w:top w:val="nil"/>
              <w:left w:val="nil"/>
              <w:bottom w:val="nil"/>
              <w:right w:val="nil"/>
            </w:tcBorders>
            <w:vAlign w:val="center"/>
            <w:hideMark/>
          </w:tcPr>
          <w:p w14:paraId="4BE072FE"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Malo</w:t>
            </w:r>
          </w:p>
        </w:tc>
        <w:tc>
          <w:tcPr>
            <w:tcW w:w="1773" w:type="dxa"/>
            <w:tcBorders>
              <w:top w:val="nil"/>
              <w:left w:val="nil"/>
              <w:bottom w:val="nil"/>
              <w:right w:val="nil"/>
            </w:tcBorders>
            <w:noWrap/>
            <w:vAlign w:val="center"/>
            <w:hideMark/>
          </w:tcPr>
          <w:p w14:paraId="7CA8571B"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20</w:t>
            </w:r>
          </w:p>
        </w:tc>
        <w:tc>
          <w:tcPr>
            <w:tcW w:w="1797" w:type="dxa"/>
            <w:tcBorders>
              <w:top w:val="nil"/>
              <w:left w:val="nil"/>
              <w:bottom w:val="nil"/>
              <w:right w:val="nil"/>
            </w:tcBorders>
            <w:vAlign w:val="center"/>
            <w:hideMark/>
          </w:tcPr>
          <w:p w14:paraId="6122A908"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50.0%</w:t>
            </w:r>
          </w:p>
        </w:tc>
        <w:tc>
          <w:tcPr>
            <w:tcW w:w="1536" w:type="dxa"/>
            <w:tcBorders>
              <w:top w:val="nil"/>
              <w:left w:val="nil"/>
              <w:bottom w:val="nil"/>
              <w:right w:val="nil"/>
            </w:tcBorders>
            <w:noWrap/>
            <w:vAlign w:val="center"/>
            <w:hideMark/>
          </w:tcPr>
          <w:p w14:paraId="09BB8C6C"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4</w:t>
            </w:r>
          </w:p>
        </w:tc>
        <w:tc>
          <w:tcPr>
            <w:tcW w:w="1669" w:type="dxa"/>
            <w:tcBorders>
              <w:top w:val="nil"/>
              <w:left w:val="nil"/>
              <w:bottom w:val="nil"/>
              <w:right w:val="nil"/>
            </w:tcBorders>
            <w:vAlign w:val="center"/>
            <w:hideMark/>
          </w:tcPr>
          <w:p w14:paraId="7B06D004"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10.0%</w:t>
            </w:r>
          </w:p>
        </w:tc>
        <w:tc>
          <w:tcPr>
            <w:tcW w:w="146" w:type="dxa"/>
            <w:vAlign w:val="center"/>
            <w:hideMark/>
          </w:tcPr>
          <w:p w14:paraId="4F671FEA"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2EF552B1" w14:textId="77777777" w:rsidTr="007607FD">
        <w:trPr>
          <w:trHeight w:val="330"/>
        </w:trPr>
        <w:tc>
          <w:tcPr>
            <w:tcW w:w="1759" w:type="dxa"/>
            <w:tcBorders>
              <w:top w:val="nil"/>
              <w:left w:val="nil"/>
              <w:bottom w:val="nil"/>
              <w:right w:val="nil"/>
            </w:tcBorders>
            <w:vAlign w:val="center"/>
            <w:hideMark/>
          </w:tcPr>
          <w:p w14:paraId="342E63DE"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Regular</w:t>
            </w:r>
          </w:p>
        </w:tc>
        <w:tc>
          <w:tcPr>
            <w:tcW w:w="1773" w:type="dxa"/>
            <w:tcBorders>
              <w:top w:val="nil"/>
              <w:left w:val="nil"/>
              <w:bottom w:val="nil"/>
              <w:right w:val="nil"/>
            </w:tcBorders>
            <w:noWrap/>
            <w:vAlign w:val="center"/>
            <w:hideMark/>
          </w:tcPr>
          <w:p w14:paraId="72B9FB69"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w:t>
            </w:r>
          </w:p>
        </w:tc>
        <w:tc>
          <w:tcPr>
            <w:tcW w:w="1797" w:type="dxa"/>
            <w:tcBorders>
              <w:top w:val="nil"/>
              <w:left w:val="nil"/>
              <w:bottom w:val="nil"/>
              <w:right w:val="nil"/>
            </w:tcBorders>
            <w:vAlign w:val="center"/>
            <w:hideMark/>
          </w:tcPr>
          <w:p w14:paraId="63EEDB16"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2.5%</w:t>
            </w:r>
          </w:p>
        </w:tc>
        <w:tc>
          <w:tcPr>
            <w:tcW w:w="1536" w:type="dxa"/>
            <w:tcBorders>
              <w:top w:val="nil"/>
              <w:left w:val="nil"/>
              <w:bottom w:val="nil"/>
              <w:right w:val="nil"/>
            </w:tcBorders>
            <w:noWrap/>
            <w:vAlign w:val="center"/>
            <w:hideMark/>
          </w:tcPr>
          <w:p w14:paraId="5D57C337"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33</w:t>
            </w:r>
          </w:p>
        </w:tc>
        <w:tc>
          <w:tcPr>
            <w:tcW w:w="1669" w:type="dxa"/>
            <w:tcBorders>
              <w:top w:val="nil"/>
              <w:left w:val="nil"/>
              <w:bottom w:val="nil"/>
              <w:right w:val="nil"/>
            </w:tcBorders>
            <w:vAlign w:val="center"/>
            <w:hideMark/>
          </w:tcPr>
          <w:p w14:paraId="0AE90839"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82.5%</w:t>
            </w:r>
          </w:p>
        </w:tc>
        <w:tc>
          <w:tcPr>
            <w:tcW w:w="146" w:type="dxa"/>
            <w:vAlign w:val="center"/>
            <w:hideMark/>
          </w:tcPr>
          <w:p w14:paraId="28ED341F"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7189B694" w14:textId="77777777" w:rsidTr="007607FD">
        <w:trPr>
          <w:trHeight w:val="330"/>
        </w:trPr>
        <w:tc>
          <w:tcPr>
            <w:tcW w:w="1759" w:type="dxa"/>
            <w:tcBorders>
              <w:top w:val="nil"/>
              <w:left w:val="nil"/>
              <w:bottom w:val="single" w:sz="8" w:space="0" w:color="auto"/>
              <w:right w:val="nil"/>
            </w:tcBorders>
            <w:vAlign w:val="center"/>
            <w:hideMark/>
          </w:tcPr>
          <w:p w14:paraId="14722A71"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Óptimo</w:t>
            </w:r>
          </w:p>
        </w:tc>
        <w:tc>
          <w:tcPr>
            <w:tcW w:w="1773" w:type="dxa"/>
            <w:tcBorders>
              <w:top w:val="nil"/>
              <w:left w:val="nil"/>
              <w:bottom w:val="single" w:sz="8" w:space="0" w:color="auto"/>
              <w:right w:val="nil"/>
            </w:tcBorders>
            <w:noWrap/>
            <w:vAlign w:val="center"/>
            <w:hideMark/>
          </w:tcPr>
          <w:p w14:paraId="7AD2F83B"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0</w:t>
            </w:r>
          </w:p>
        </w:tc>
        <w:tc>
          <w:tcPr>
            <w:tcW w:w="1797" w:type="dxa"/>
            <w:tcBorders>
              <w:top w:val="nil"/>
              <w:left w:val="nil"/>
              <w:bottom w:val="single" w:sz="8" w:space="0" w:color="auto"/>
              <w:right w:val="nil"/>
            </w:tcBorders>
            <w:vAlign w:val="center"/>
            <w:hideMark/>
          </w:tcPr>
          <w:p w14:paraId="0A89DEB5"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0.0%</w:t>
            </w:r>
          </w:p>
        </w:tc>
        <w:tc>
          <w:tcPr>
            <w:tcW w:w="1536" w:type="dxa"/>
            <w:tcBorders>
              <w:top w:val="nil"/>
              <w:left w:val="nil"/>
              <w:bottom w:val="single" w:sz="8" w:space="0" w:color="auto"/>
              <w:right w:val="nil"/>
            </w:tcBorders>
            <w:noWrap/>
            <w:vAlign w:val="center"/>
            <w:hideMark/>
          </w:tcPr>
          <w:p w14:paraId="66316F30"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3</w:t>
            </w:r>
          </w:p>
        </w:tc>
        <w:tc>
          <w:tcPr>
            <w:tcW w:w="1669" w:type="dxa"/>
            <w:tcBorders>
              <w:top w:val="nil"/>
              <w:left w:val="nil"/>
              <w:bottom w:val="single" w:sz="8" w:space="0" w:color="auto"/>
              <w:right w:val="nil"/>
            </w:tcBorders>
            <w:vAlign w:val="center"/>
            <w:hideMark/>
          </w:tcPr>
          <w:p w14:paraId="11836F70"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7.5%</w:t>
            </w:r>
          </w:p>
        </w:tc>
        <w:tc>
          <w:tcPr>
            <w:tcW w:w="146" w:type="dxa"/>
            <w:vAlign w:val="center"/>
            <w:hideMark/>
          </w:tcPr>
          <w:p w14:paraId="7A56DDD9"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r w:rsidR="00032DD2" w:rsidRPr="00E7090B" w14:paraId="1EB8316E" w14:textId="77777777" w:rsidTr="007607FD">
        <w:trPr>
          <w:trHeight w:val="540"/>
        </w:trPr>
        <w:tc>
          <w:tcPr>
            <w:tcW w:w="1759" w:type="dxa"/>
            <w:tcBorders>
              <w:top w:val="nil"/>
              <w:left w:val="nil"/>
              <w:bottom w:val="single" w:sz="8" w:space="0" w:color="auto"/>
              <w:right w:val="nil"/>
            </w:tcBorders>
            <w:vAlign w:val="center"/>
            <w:hideMark/>
          </w:tcPr>
          <w:p w14:paraId="4B2E4992" w14:textId="77777777" w:rsidR="00032DD2" w:rsidRPr="00E7090B" w:rsidRDefault="00032DD2" w:rsidP="00E7090B">
            <w:pPr>
              <w:spacing w:after="0" w:line="480" w:lineRule="auto"/>
              <w:jc w:val="both"/>
              <w:rPr>
                <w:rFonts w:ascii="Times New Roman" w:eastAsia="Times New Roman" w:hAnsi="Times New Roman" w:cs="Times New Roman"/>
                <w:b/>
                <w:bCs/>
                <w:color w:val="000000"/>
                <w:lang w:eastAsia="es-PE"/>
              </w:rPr>
            </w:pPr>
            <w:r w:rsidRPr="00E7090B">
              <w:rPr>
                <w:rFonts w:ascii="Times New Roman" w:eastAsia="Times New Roman" w:hAnsi="Times New Roman" w:cs="Times New Roman"/>
                <w:b/>
                <w:bCs/>
                <w:color w:val="000000"/>
                <w:lang w:eastAsia="es-PE"/>
              </w:rPr>
              <w:t>Total=(f)</w:t>
            </w:r>
          </w:p>
        </w:tc>
        <w:tc>
          <w:tcPr>
            <w:tcW w:w="1773" w:type="dxa"/>
            <w:tcBorders>
              <w:top w:val="nil"/>
              <w:left w:val="nil"/>
              <w:bottom w:val="single" w:sz="8" w:space="0" w:color="auto"/>
              <w:right w:val="nil"/>
            </w:tcBorders>
            <w:vAlign w:val="center"/>
            <w:hideMark/>
          </w:tcPr>
          <w:p w14:paraId="49C93EFB"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40</w:t>
            </w:r>
          </w:p>
        </w:tc>
        <w:tc>
          <w:tcPr>
            <w:tcW w:w="1797" w:type="dxa"/>
            <w:tcBorders>
              <w:top w:val="nil"/>
              <w:left w:val="nil"/>
              <w:bottom w:val="single" w:sz="8" w:space="0" w:color="auto"/>
              <w:right w:val="nil"/>
            </w:tcBorders>
            <w:vAlign w:val="center"/>
            <w:hideMark/>
          </w:tcPr>
          <w:p w14:paraId="4881EDF6"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100%</w:t>
            </w:r>
          </w:p>
        </w:tc>
        <w:tc>
          <w:tcPr>
            <w:tcW w:w="1536" w:type="dxa"/>
            <w:tcBorders>
              <w:top w:val="nil"/>
              <w:left w:val="nil"/>
              <w:bottom w:val="single" w:sz="8" w:space="0" w:color="auto"/>
              <w:right w:val="nil"/>
            </w:tcBorders>
            <w:vAlign w:val="center"/>
            <w:hideMark/>
          </w:tcPr>
          <w:p w14:paraId="3B92DAD9"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40</w:t>
            </w:r>
          </w:p>
        </w:tc>
        <w:tc>
          <w:tcPr>
            <w:tcW w:w="1669" w:type="dxa"/>
            <w:tcBorders>
              <w:top w:val="nil"/>
              <w:left w:val="nil"/>
              <w:bottom w:val="single" w:sz="8" w:space="0" w:color="auto"/>
              <w:right w:val="nil"/>
            </w:tcBorders>
            <w:vAlign w:val="center"/>
            <w:hideMark/>
          </w:tcPr>
          <w:p w14:paraId="0BE28091" w14:textId="77777777" w:rsidR="00032DD2" w:rsidRPr="00E7090B" w:rsidRDefault="00032DD2" w:rsidP="00E7090B">
            <w:pPr>
              <w:spacing w:after="0" w:line="480" w:lineRule="auto"/>
              <w:jc w:val="both"/>
              <w:rPr>
                <w:rFonts w:ascii="Times New Roman" w:eastAsia="Times New Roman" w:hAnsi="Times New Roman" w:cs="Times New Roman"/>
                <w:color w:val="000000"/>
                <w:lang w:eastAsia="es-PE"/>
              </w:rPr>
            </w:pPr>
            <w:r w:rsidRPr="00E7090B">
              <w:rPr>
                <w:rFonts w:ascii="Times New Roman" w:eastAsia="Times New Roman" w:hAnsi="Times New Roman" w:cs="Times New Roman"/>
                <w:color w:val="000000"/>
                <w:lang w:eastAsia="es-PE"/>
              </w:rPr>
              <w:t>100%</w:t>
            </w:r>
          </w:p>
        </w:tc>
        <w:tc>
          <w:tcPr>
            <w:tcW w:w="146" w:type="dxa"/>
            <w:vAlign w:val="center"/>
            <w:hideMark/>
          </w:tcPr>
          <w:p w14:paraId="0B6AE3F7" w14:textId="77777777" w:rsidR="00032DD2" w:rsidRPr="00E7090B" w:rsidRDefault="00032DD2" w:rsidP="00E7090B">
            <w:pPr>
              <w:spacing w:after="0" w:line="480" w:lineRule="auto"/>
              <w:jc w:val="both"/>
              <w:rPr>
                <w:rFonts w:ascii="Times New Roman" w:eastAsia="Times New Roman" w:hAnsi="Times New Roman" w:cs="Times New Roman"/>
                <w:lang w:eastAsia="es-PE"/>
              </w:rPr>
            </w:pPr>
          </w:p>
        </w:tc>
      </w:tr>
    </w:tbl>
    <w:p w14:paraId="1B4D135E" w14:textId="77777777" w:rsidR="00032DD2" w:rsidRPr="001F199F" w:rsidRDefault="00032DD2" w:rsidP="00E7090B">
      <w:pPr>
        <w:spacing w:after="0" w:line="480" w:lineRule="auto"/>
        <w:jc w:val="both"/>
        <w:rPr>
          <w:rFonts w:ascii="Times New Roman" w:hAnsi="Times New Roman" w:cs="Times New Roman"/>
          <w:sz w:val="18"/>
          <w:szCs w:val="18"/>
        </w:rPr>
      </w:pPr>
      <w:r w:rsidRPr="001F199F">
        <w:rPr>
          <w:rFonts w:ascii="Times New Roman" w:hAnsi="Times New Roman" w:cs="Times New Roman"/>
          <w:sz w:val="18"/>
          <w:szCs w:val="18"/>
        </w:rPr>
        <w:t>Nota. Escala de promedio del antes y después del enjuague de la clorhexidina al 0.12%</w:t>
      </w:r>
    </w:p>
    <w:p w14:paraId="76ECBEC8" w14:textId="77777777" w:rsidR="00032DD2" w:rsidRPr="00E7090B" w:rsidRDefault="00032DD2" w:rsidP="00E7090B">
      <w:pPr>
        <w:spacing w:after="0" w:line="480" w:lineRule="auto"/>
        <w:jc w:val="both"/>
        <w:rPr>
          <w:rFonts w:ascii="Times New Roman" w:hAnsi="Times New Roman" w:cs="Times New Roman"/>
        </w:rPr>
      </w:pPr>
    </w:p>
    <w:p w14:paraId="7360035A" w14:textId="77777777" w:rsidR="00032DD2" w:rsidRPr="00E7090B" w:rsidRDefault="00032DD2" w:rsidP="00E7090B">
      <w:pPr>
        <w:spacing w:after="0" w:line="480" w:lineRule="auto"/>
        <w:jc w:val="both"/>
        <w:rPr>
          <w:rFonts w:ascii="Times New Roman" w:hAnsi="Times New Roman" w:cs="Times New Roman"/>
          <w:b/>
          <w:bCs/>
        </w:rPr>
      </w:pPr>
      <w:r w:rsidRPr="00E7090B">
        <w:rPr>
          <w:rFonts w:ascii="Times New Roman" w:hAnsi="Times New Roman" w:cs="Times New Roman"/>
        </w:rPr>
        <w:t>En la tabla 2 se muestra resultados promedios del antes y después del uso de clorhexidina 0.12%, en donde el 47.5% (19) tuvieron un IHO-S muy malo, seguido del 50% (20) que mostraron ser malo, el 2.5% (1) evidenciaron ser regular y finalmente no se obtuvieron IHO-S optima. Luego de emplear enjuague bucal con clorhexidina 0.12% a la misma muestra, se obtuvo que el 0% (0) mostraron un IHO-S muy mala, el 10% (4) fue mala, el 82.5% (33) evidencio ser regular y solo el 7.5 % (3) fue optima.</w:t>
      </w:r>
      <w:r w:rsidRPr="00E7090B">
        <w:rPr>
          <w:rFonts w:ascii="Times New Roman" w:hAnsi="Times New Roman" w:cs="Times New Roman"/>
          <w:b/>
          <w:bCs/>
        </w:rPr>
        <w:t xml:space="preserve"> </w:t>
      </w:r>
      <w:r w:rsidRPr="00E7090B">
        <w:rPr>
          <w:rFonts w:ascii="Times New Roman" w:hAnsi="Times New Roman" w:cs="Times New Roman"/>
        </w:rPr>
        <w:t>Dichos resultados nos muestran que el uso de enjuague bucal mejoró la reducción de placa bacteriana, dado que la eficacia se incrementó en un 80% en el IHO-S regular y la óptima en un 7.5%.</w:t>
      </w:r>
    </w:p>
    <w:p w14:paraId="1603C4FF" w14:textId="77777777" w:rsidR="00032DD2" w:rsidRPr="00E7090B" w:rsidRDefault="00032DD2" w:rsidP="00CE433A">
      <w:pPr>
        <w:spacing w:after="0" w:line="240" w:lineRule="auto"/>
        <w:jc w:val="both"/>
        <w:rPr>
          <w:rFonts w:ascii="Times New Roman" w:hAnsi="Times New Roman" w:cs="Times New Roman"/>
        </w:rPr>
      </w:pPr>
      <w:r w:rsidRPr="00E7090B">
        <w:rPr>
          <w:rFonts w:ascii="Times New Roman" w:hAnsi="Times New Roman" w:cs="Times New Roman"/>
          <w:b/>
          <w:bCs/>
        </w:rPr>
        <w:t xml:space="preserve">Tabla 3. </w:t>
      </w:r>
      <w:r w:rsidRPr="00E7090B">
        <w:rPr>
          <w:rFonts w:ascii="Times New Roman" w:hAnsi="Times New Roman" w:cs="Times New Roman"/>
        </w:rPr>
        <w:t>Comparación de medidas antes y después de la aplicación de la clorhexidina al 0.12%</w:t>
      </w:r>
      <w:r w:rsidRPr="00E7090B">
        <w:rPr>
          <w:rFonts w:ascii="Times New Roman" w:hAnsi="Times New Roman" w:cs="Times New Roman"/>
          <w:b/>
          <w:bCs/>
        </w:rPr>
        <w:t xml:space="preserve"> </w:t>
      </w:r>
    </w:p>
    <w:tbl>
      <w:tblPr>
        <w:tblW w:w="5000" w:type="pct"/>
        <w:tblBorders>
          <w:top w:val="single" w:sz="4" w:space="0" w:color="auto"/>
        </w:tblBorders>
        <w:tblCellMar>
          <w:left w:w="70" w:type="dxa"/>
          <w:right w:w="70" w:type="dxa"/>
        </w:tblCellMar>
        <w:tblLook w:val="0000" w:firstRow="0" w:lastRow="0" w:firstColumn="0" w:lastColumn="0" w:noHBand="0" w:noVBand="0"/>
      </w:tblPr>
      <w:tblGrid>
        <w:gridCol w:w="5381"/>
        <w:gridCol w:w="3693"/>
      </w:tblGrid>
      <w:tr w:rsidR="00032DD2" w:rsidRPr="00E7090B" w14:paraId="5A03188A" w14:textId="77777777" w:rsidTr="00CE433A">
        <w:trPr>
          <w:trHeight w:val="100"/>
        </w:trPr>
        <w:tc>
          <w:tcPr>
            <w:tcW w:w="5000" w:type="pct"/>
            <w:gridSpan w:val="2"/>
          </w:tcPr>
          <w:p w14:paraId="29A92BD3"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b/>
                <w:bCs/>
              </w:rPr>
            </w:pPr>
          </w:p>
        </w:tc>
      </w:tr>
      <w:tr w:rsidR="00032DD2" w:rsidRPr="00E7090B" w14:paraId="4F75CF46" w14:textId="77777777" w:rsidTr="00CE433A">
        <w:tblPrEx>
          <w:tblBorders>
            <w:top w:val="none" w:sz="0" w:space="0" w:color="auto"/>
          </w:tblBorders>
          <w:tblCellMar>
            <w:left w:w="108" w:type="dxa"/>
            <w:right w:w="108" w:type="dxa"/>
          </w:tblCellMar>
        </w:tblPrEx>
        <w:tc>
          <w:tcPr>
            <w:tcW w:w="5000" w:type="pct"/>
            <w:gridSpan w:val="2"/>
            <w:tcBorders>
              <w:bottom w:val="single" w:sz="4" w:space="0" w:color="000000" w:themeColor="text1"/>
            </w:tcBorders>
          </w:tcPr>
          <w:p w14:paraId="43D14CA3"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b/>
                <w:bCs/>
              </w:rPr>
              <w:t>Estadísticos de prueba</w:t>
            </w:r>
            <w:r w:rsidRPr="00E7090B">
              <w:rPr>
                <w:rFonts w:ascii="Times New Roman" w:hAnsi="Times New Roman" w:cs="Times New Roman"/>
                <w:b/>
                <w:bCs/>
                <w:vertAlign w:val="superscript"/>
              </w:rPr>
              <w:t>a</w:t>
            </w:r>
          </w:p>
        </w:tc>
      </w:tr>
      <w:tr w:rsidR="00032DD2" w:rsidRPr="00E7090B" w14:paraId="62B4E56B" w14:textId="77777777" w:rsidTr="00CE433A">
        <w:tblPrEx>
          <w:tblBorders>
            <w:top w:val="none" w:sz="0" w:space="0" w:color="auto"/>
          </w:tblBorders>
          <w:tblCellMar>
            <w:left w:w="108" w:type="dxa"/>
            <w:right w:w="108" w:type="dxa"/>
          </w:tblCellMar>
        </w:tblPrEx>
        <w:tc>
          <w:tcPr>
            <w:tcW w:w="2965" w:type="pct"/>
            <w:tcBorders>
              <w:top w:val="single" w:sz="4" w:space="0" w:color="000000" w:themeColor="text1"/>
              <w:bottom w:val="single" w:sz="4" w:space="0" w:color="000000" w:themeColor="text1"/>
            </w:tcBorders>
          </w:tcPr>
          <w:p w14:paraId="759D83E6"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p>
        </w:tc>
        <w:tc>
          <w:tcPr>
            <w:tcW w:w="2035" w:type="pct"/>
            <w:tcBorders>
              <w:top w:val="single" w:sz="4" w:space="0" w:color="000000" w:themeColor="text1"/>
              <w:bottom w:val="single" w:sz="4" w:space="0" w:color="000000" w:themeColor="text1"/>
            </w:tcBorders>
          </w:tcPr>
          <w:p w14:paraId="36D9F5BB"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rPr>
              <w:t>Después del uso - Antes del uso de clorhexidina 0.12%</w:t>
            </w:r>
          </w:p>
        </w:tc>
      </w:tr>
      <w:tr w:rsidR="00032DD2" w:rsidRPr="00E7090B" w14:paraId="6AFDBC09" w14:textId="77777777" w:rsidTr="00CE433A">
        <w:tblPrEx>
          <w:tblBorders>
            <w:top w:val="none" w:sz="0" w:space="0" w:color="auto"/>
          </w:tblBorders>
          <w:tblCellMar>
            <w:left w:w="108" w:type="dxa"/>
            <w:right w:w="108" w:type="dxa"/>
          </w:tblCellMar>
        </w:tblPrEx>
        <w:tc>
          <w:tcPr>
            <w:tcW w:w="2965" w:type="pct"/>
            <w:tcBorders>
              <w:top w:val="single" w:sz="4" w:space="0" w:color="000000" w:themeColor="text1"/>
              <w:bottom w:val="single" w:sz="4" w:space="0" w:color="auto"/>
            </w:tcBorders>
          </w:tcPr>
          <w:p w14:paraId="50D21595"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rPr>
              <w:t>Z</w:t>
            </w:r>
          </w:p>
        </w:tc>
        <w:tc>
          <w:tcPr>
            <w:tcW w:w="2035" w:type="pct"/>
            <w:tcBorders>
              <w:top w:val="single" w:sz="4" w:space="0" w:color="000000" w:themeColor="text1"/>
              <w:bottom w:val="single" w:sz="4" w:space="0" w:color="auto"/>
            </w:tcBorders>
          </w:tcPr>
          <w:p w14:paraId="2692DB8F"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rPr>
              <w:t>-5,542</w:t>
            </w:r>
            <w:r w:rsidRPr="00E7090B">
              <w:rPr>
                <w:rFonts w:ascii="Times New Roman" w:hAnsi="Times New Roman" w:cs="Times New Roman"/>
                <w:vertAlign w:val="superscript"/>
              </w:rPr>
              <w:t>b</w:t>
            </w:r>
          </w:p>
        </w:tc>
      </w:tr>
      <w:tr w:rsidR="00032DD2" w:rsidRPr="00E7090B" w14:paraId="24054508" w14:textId="77777777" w:rsidTr="00CE433A">
        <w:tblPrEx>
          <w:tblBorders>
            <w:top w:val="none" w:sz="0" w:space="0" w:color="auto"/>
          </w:tblBorders>
          <w:tblCellMar>
            <w:left w:w="108" w:type="dxa"/>
            <w:right w:w="108" w:type="dxa"/>
          </w:tblCellMar>
        </w:tblPrEx>
        <w:tc>
          <w:tcPr>
            <w:tcW w:w="2965" w:type="pct"/>
            <w:tcBorders>
              <w:top w:val="single" w:sz="4" w:space="0" w:color="auto"/>
              <w:bottom w:val="single" w:sz="4" w:space="0" w:color="auto"/>
            </w:tcBorders>
          </w:tcPr>
          <w:p w14:paraId="2323A33A"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rPr>
              <w:t>Sig. asin. (bilateral)</w:t>
            </w:r>
          </w:p>
        </w:tc>
        <w:tc>
          <w:tcPr>
            <w:tcW w:w="2035" w:type="pct"/>
            <w:tcBorders>
              <w:top w:val="single" w:sz="4" w:space="0" w:color="auto"/>
              <w:bottom w:val="single" w:sz="4" w:space="0" w:color="auto"/>
            </w:tcBorders>
          </w:tcPr>
          <w:p w14:paraId="2939A896"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rPr>
              <w:t>,000</w:t>
            </w:r>
          </w:p>
        </w:tc>
      </w:tr>
      <w:tr w:rsidR="00032DD2" w:rsidRPr="00E7090B" w14:paraId="2815289E" w14:textId="77777777" w:rsidTr="00CE433A">
        <w:tblPrEx>
          <w:tblBorders>
            <w:top w:val="none" w:sz="0" w:space="0" w:color="auto"/>
          </w:tblBorders>
          <w:tblCellMar>
            <w:left w:w="108" w:type="dxa"/>
            <w:right w:w="108" w:type="dxa"/>
          </w:tblCellMar>
        </w:tblPrEx>
        <w:tc>
          <w:tcPr>
            <w:tcW w:w="5000" w:type="pct"/>
            <w:gridSpan w:val="2"/>
            <w:tcBorders>
              <w:top w:val="single" w:sz="4" w:space="0" w:color="auto"/>
            </w:tcBorders>
          </w:tcPr>
          <w:p w14:paraId="793602C5"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rPr>
              <w:t>a. Prueba de rangos con signo de Wilcoxon</w:t>
            </w:r>
          </w:p>
        </w:tc>
      </w:tr>
      <w:tr w:rsidR="00032DD2" w:rsidRPr="00E7090B" w14:paraId="509AFF13" w14:textId="77777777" w:rsidTr="00CE433A">
        <w:tblPrEx>
          <w:tblBorders>
            <w:top w:val="none" w:sz="0" w:space="0" w:color="auto"/>
          </w:tblBorders>
          <w:tblCellMar>
            <w:left w:w="108" w:type="dxa"/>
            <w:right w:w="108" w:type="dxa"/>
          </w:tblCellMar>
        </w:tblPrEx>
        <w:tc>
          <w:tcPr>
            <w:tcW w:w="5000" w:type="pct"/>
            <w:gridSpan w:val="2"/>
            <w:tcBorders>
              <w:bottom w:val="single" w:sz="4" w:space="0" w:color="auto"/>
            </w:tcBorders>
          </w:tcPr>
          <w:p w14:paraId="4EC40259" w14:textId="77777777" w:rsidR="00032DD2" w:rsidRPr="00E7090B" w:rsidRDefault="00032DD2" w:rsidP="00CE433A">
            <w:pPr>
              <w:autoSpaceDE w:val="0"/>
              <w:autoSpaceDN w:val="0"/>
              <w:adjustRightInd w:val="0"/>
              <w:spacing w:after="0" w:line="360" w:lineRule="auto"/>
              <w:jc w:val="both"/>
              <w:rPr>
                <w:rFonts w:ascii="Times New Roman" w:hAnsi="Times New Roman" w:cs="Times New Roman"/>
              </w:rPr>
            </w:pPr>
            <w:r w:rsidRPr="00E7090B">
              <w:rPr>
                <w:rFonts w:ascii="Times New Roman" w:hAnsi="Times New Roman" w:cs="Times New Roman"/>
              </w:rPr>
              <w:t>b. Se basa en rangos negativos.</w:t>
            </w:r>
          </w:p>
        </w:tc>
      </w:tr>
    </w:tbl>
    <w:p w14:paraId="65386793" w14:textId="77777777" w:rsidR="00032DD2" w:rsidRPr="00CE433A" w:rsidRDefault="00032DD2" w:rsidP="00E7090B">
      <w:pPr>
        <w:autoSpaceDE w:val="0"/>
        <w:autoSpaceDN w:val="0"/>
        <w:adjustRightInd w:val="0"/>
        <w:spacing w:after="0" w:line="480" w:lineRule="auto"/>
        <w:jc w:val="both"/>
        <w:rPr>
          <w:rFonts w:ascii="Times New Roman" w:hAnsi="Times New Roman" w:cs="Times New Roman"/>
          <w:sz w:val="18"/>
          <w:szCs w:val="18"/>
        </w:rPr>
      </w:pPr>
      <w:r w:rsidRPr="00CE433A">
        <w:rPr>
          <w:rFonts w:ascii="Times New Roman" w:hAnsi="Times New Roman" w:cs="Times New Roman"/>
          <w:sz w:val="18"/>
          <w:szCs w:val="18"/>
        </w:rPr>
        <w:t xml:space="preserve">Nota. Comparación de medias a través de la prueba de Wilcoxon </w:t>
      </w:r>
    </w:p>
    <w:p w14:paraId="3FEA4CEB" w14:textId="5047B974" w:rsidR="00CE433A" w:rsidRDefault="00CE433A">
      <w:pPr>
        <w:rPr>
          <w:rFonts w:ascii="Times New Roman" w:hAnsi="Times New Roman" w:cs="Times New Roman"/>
        </w:rPr>
      </w:pPr>
      <w:r>
        <w:rPr>
          <w:rFonts w:ascii="Times New Roman" w:hAnsi="Times New Roman" w:cs="Times New Roman"/>
        </w:rPr>
        <w:br w:type="page"/>
      </w:r>
    </w:p>
    <w:p w14:paraId="1A959709"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Según los datos de la tabla 3 al aplicar la Prueba de Wilcoxon se obtuvo un valor de sig. = 0,00 (p – valor &lt; 0.05) por lo cual se rechaza la hipótesis nula y se concluye que el enjuague bucal de clorhexidina 0.12% es eficaz para la reducción de la placa bacteriana en la I. E. Divino Maestro, San Rafael 2023.</w:t>
      </w:r>
    </w:p>
    <w:p w14:paraId="7E19FAA2" w14:textId="77777777" w:rsidR="00032DD2" w:rsidRPr="00E7090B" w:rsidRDefault="00032DD2" w:rsidP="00000F64">
      <w:pPr>
        <w:spacing w:after="0" w:line="240" w:lineRule="auto"/>
        <w:jc w:val="both"/>
        <w:rPr>
          <w:rFonts w:ascii="Times New Roman" w:hAnsi="Times New Roman" w:cs="Times New Roman"/>
        </w:rPr>
      </w:pPr>
      <w:r w:rsidRPr="00E7090B">
        <w:rPr>
          <w:rFonts w:ascii="Times New Roman" w:hAnsi="Times New Roman" w:cs="Times New Roman"/>
          <w:b/>
          <w:bCs/>
        </w:rPr>
        <w:t xml:space="preserve">Tabla 4. </w:t>
      </w:r>
      <w:r w:rsidRPr="00E7090B">
        <w:rPr>
          <w:rFonts w:ascii="Times New Roman" w:hAnsi="Times New Roman" w:cs="Times New Roman"/>
        </w:rPr>
        <w:t>Comparación de medidas antes y después de la aplicación del aloe vera</w:t>
      </w:r>
      <w:r w:rsidRPr="00E7090B">
        <w:rPr>
          <w:rFonts w:ascii="Times New Roman" w:hAnsi="Times New Roman" w:cs="Times New Roman"/>
          <w:b/>
          <w:bCs/>
        </w:rPr>
        <w:t xml:space="preserve"> </w:t>
      </w:r>
    </w:p>
    <w:tbl>
      <w:tblPr>
        <w:tblW w:w="5000" w:type="pct"/>
        <w:tblLook w:val="0000" w:firstRow="0" w:lastRow="0" w:firstColumn="0" w:lastColumn="0" w:noHBand="0" w:noVBand="0"/>
      </w:tblPr>
      <w:tblGrid>
        <w:gridCol w:w="5163"/>
        <w:gridCol w:w="3911"/>
      </w:tblGrid>
      <w:tr w:rsidR="00032DD2" w:rsidRPr="00E7090B" w14:paraId="35014C82" w14:textId="77777777" w:rsidTr="00000F64">
        <w:tc>
          <w:tcPr>
            <w:tcW w:w="5000" w:type="pct"/>
            <w:gridSpan w:val="2"/>
            <w:tcBorders>
              <w:top w:val="single" w:sz="4" w:space="0" w:color="000000" w:themeColor="text1"/>
              <w:bottom w:val="single" w:sz="4" w:space="0" w:color="000000" w:themeColor="text1"/>
            </w:tcBorders>
          </w:tcPr>
          <w:p w14:paraId="45B111B6"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b/>
                <w:bCs/>
              </w:rPr>
              <w:t>Estadísticos de prueba</w:t>
            </w:r>
            <w:r w:rsidRPr="00E7090B">
              <w:rPr>
                <w:rFonts w:ascii="Times New Roman" w:hAnsi="Times New Roman" w:cs="Times New Roman"/>
                <w:b/>
                <w:bCs/>
                <w:vertAlign w:val="superscript"/>
              </w:rPr>
              <w:t>a</w:t>
            </w:r>
          </w:p>
        </w:tc>
      </w:tr>
      <w:tr w:rsidR="00032DD2" w:rsidRPr="00E7090B" w14:paraId="3978432B" w14:textId="77777777" w:rsidTr="00000F64">
        <w:tc>
          <w:tcPr>
            <w:tcW w:w="2845" w:type="pct"/>
            <w:tcBorders>
              <w:top w:val="single" w:sz="4" w:space="0" w:color="000000" w:themeColor="text1"/>
              <w:bottom w:val="single" w:sz="4" w:space="0" w:color="000000" w:themeColor="text1"/>
            </w:tcBorders>
          </w:tcPr>
          <w:p w14:paraId="0DE0E575"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p>
        </w:tc>
        <w:tc>
          <w:tcPr>
            <w:tcW w:w="2155" w:type="pct"/>
            <w:tcBorders>
              <w:top w:val="single" w:sz="4" w:space="0" w:color="000000" w:themeColor="text1"/>
              <w:bottom w:val="single" w:sz="4" w:space="0" w:color="000000" w:themeColor="text1"/>
            </w:tcBorders>
          </w:tcPr>
          <w:p w14:paraId="07CF5EE6"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Después del uso de Aloe vera al 5% - Antes del uso de Aloe vera al 5%</w:t>
            </w:r>
          </w:p>
        </w:tc>
      </w:tr>
      <w:tr w:rsidR="00032DD2" w:rsidRPr="00E7090B" w14:paraId="3C471B3F" w14:textId="77777777" w:rsidTr="00000F64">
        <w:tc>
          <w:tcPr>
            <w:tcW w:w="2845" w:type="pct"/>
            <w:tcBorders>
              <w:top w:val="single" w:sz="4" w:space="0" w:color="000000" w:themeColor="text1"/>
              <w:bottom w:val="single" w:sz="4" w:space="0" w:color="auto"/>
            </w:tcBorders>
          </w:tcPr>
          <w:p w14:paraId="55B5A981"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Z</w:t>
            </w:r>
          </w:p>
        </w:tc>
        <w:tc>
          <w:tcPr>
            <w:tcW w:w="2155" w:type="pct"/>
            <w:tcBorders>
              <w:top w:val="single" w:sz="4" w:space="0" w:color="000000" w:themeColor="text1"/>
              <w:bottom w:val="single" w:sz="4" w:space="0" w:color="auto"/>
            </w:tcBorders>
          </w:tcPr>
          <w:p w14:paraId="35348E62"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-5,308</w:t>
            </w:r>
            <w:r w:rsidRPr="00E7090B">
              <w:rPr>
                <w:rFonts w:ascii="Times New Roman" w:hAnsi="Times New Roman" w:cs="Times New Roman"/>
                <w:vertAlign w:val="superscript"/>
              </w:rPr>
              <w:t>b</w:t>
            </w:r>
          </w:p>
        </w:tc>
      </w:tr>
      <w:tr w:rsidR="00032DD2" w:rsidRPr="00E7090B" w14:paraId="11929575" w14:textId="77777777" w:rsidTr="00000F64">
        <w:tc>
          <w:tcPr>
            <w:tcW w:w="2845" w:type="pct"/>
            <w:tcBorders>
              <w:top w:val="single" w:sz="4" w:space="0" w:color="auto"/>
              <w:bottom w:val="single" w:sz="4" w:space="0" w:color="auto"/>
            </w:tcBorders>
          </w:tcPr>
          <w:p w14:paraId="0EED0AF8"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Sig. asin. (bilateral)</w:t>
            </w:r>
          </w:p>
        </w:tc>
        <w:tc>
          <w:tcPr>
            <w:tcW w:w="2155" w:type="pct"/>
            <w:tcBorders>
              <w:top w:val="single" w:sz="4" w:space="0" w:color="auto"/>
              <w:bottom w:val="single" w:sz="4" w:space="0" w:color="auto"/>
            </w:tcBorders>
          </w:tcPr>
          <w:p w14:paraId="36CA7FB8"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,000</w:t>
            </w:r>
          </w:p>
        </w:tc>
      </w:tr>
      <w:tr w:rsidR="00032DD2" w:rsidRPr="00E7090B" w14:paraId="1FBA69DC" w14:textId="77777777" w:rsidTr="00000F64">
        <w:tc>
          <w:tcPr>
            <w:tcW w:w="5000" w:type="pct"/>
            <w:gridSpan w:val="2"/>
            <w:tcBorders>
              <w:top w:val="single" w:sz="4" w:space="0" w:color="auto"/>
            </w:tcBorders>
          </w:tcPr>
          <w:p w14:paraId="3F7C544A"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a. Prueba de rangos con signo de Wilcoxon</w:t>
            </w:r>
          </w:p>
        </w:tc>
      </w:tr>
      <w:tr w:rsidR="00032DD2" w:rsidRPr="00E7090B" w14:paraId="248BCCFC" w14:textId="77777777" w:rsidTr="00000F64">
        <w:tc>
          <w:tcPr>
            <w:tcW w:w="5000" w:type="pct"/>
            <w:gridSpan w:val="2"/>
          </w:tcPr>
          <w:p w14:paraId="4D7BE1A1"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b. Se basa en rangos negativos.</w:t>
            </w:r>
          </w:p>
        </w:tc>
      </w:tr>
      <w:tr w:rsidR="00032DD2" w:rsidRPr="00E7090B" w14:paraId="7783FAD6" w14:textId="77777777" w:rsidTr="00000F64">
        <w:tblPrEx>
          <w:tblBorders>
            <w:top w:val="single" w:sz="4" w:space="0" w:color="auto"/>
          </w:tblBorders>
          <w:tblCellMar>
            <w:left w:w="70" w:type="dxa"/>
            <w:right w:w="70" w:type="dxa"/>
          </w:tblCellMar>
        </w:tblPrEx>
        <w:trPr>
          <w:trHeight w:val="100"/>
        </w:trPr>
        <w:tc>
          <w:tcPr>
            <w:tcW w:w="5000" w:type="pct"/>
            <w:gridSpan w:val="2"/>
          </w:tcPr>
          <w:p w14:paraId="22439DD0" w14:textId="77777777" w:rsidR="00032DD2" w:rsidRPr="00000F64" w:rsidRDefault="00032DD2" w:rsidP="00E7090B">
            <w:pPr>
              <w:autoSpaceDE w:val="0"/>
              <w:autoSpaceDN w:val="0"/>
              <w:adjustRightInd w:val="0"/>
              <w:spacing w:after="0" w:line="480" w:lineRule="auto"/>
              <w:jc w:val="both"/>
              <w:rPr>
                <w:rFonts w:ascii="Times New Roman" w:hAnsi="Times New Roman" w:cs="Times New Roman"/>
                <w:sz w:val="18"/>
                <w:szCs w:val="18"/>
              </w:rPr>
            </w:pPr>
            <w:r w:rsidRPr="00000F64">
              <w:rPr>
                <w:rFonts w:ascii="Times New Roman" w:hAnsi="Times New Roman" w:cs="Times New Roman"/>
                <w:sz w:val="18"/>
                <w:szCs w:val="18"/>
              </w:rPr>
              <w:t xml:space="preserve">Nota. Comparación de medias a través de la prueba de Wilcoxon </w:t>
            </w:r>
          </w:p>
          <w:p w14:paraId="170A0C3B"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p>
        </w:tc>
      </w:tr>
    </w:tbl>
    <w:p w14:paraId="1D3AE7EB"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De acuerdo con los datos presentados en la tabla 4, al aplicar la Prueba de Wilcoxon se obtuvo un valor de sig. = 0,00 (p – valor &lt; 0.05) por lo cual se rechaza la hipótesis nula y se concluye que el enjuague bucal de Aloe Vera al 50% es eficaz para la reducción de la placa bacteriana en la I. E. Divino Maestro, San Rafael 2023.</w:t>
      </w:r>
    </w:p>
    <w:p w14:paraId="637D1C16" w14:textId="77777777" w:rsidR="00032DD2" w:rsidRPr="00E7090B" w:rsidRDefault="00032DD2" w:rsidP="00000F64">
      <w:pPr>
        <w:autoSpaceDE w:val="0"/>
        <w:autoSpaceDN w:val="0"/>
        <w:adjustRightInd w:val="0"/>
        <w:spacing w:after="0" w:line="276" w:lineRule="auto"/>
        <w:jc w:val="both"/>
        <w:rPr>
          <w:rFonts w:ascii="Times New Roman" w:hAnsi="Times New Roman" w:cs="Times New Roman"/>
        </w:rPr>
      </w:pPr>
      <w:bookmarkStart w:id="6" w:name="_Hlk186121322"/>
      <w:r w:rsidRPr="00E7090B">
        <w:rPr>
          <w:rFonts w:ascii="Times New Roman" w:hAnsi="Times New Roman" w:cs="Times New Roman"/>
          <w:b/>
          <w:bCs/>
        </w:rPr>
        <w:t>Tabla 5.</w:t>
      </w:r>
      <w:r w:rsidRPr="00E7090B">
        <w:rPr>
          <w:rFonts w:ascii="Times New Roman" w:hAnsi="Times New Roman" w:cs="Times New Roman"/>
        </w:rPr>
        <w:t xml:space="preserve"> Diferencias de medias del uso después del uso de Aloe vera al 50% y después del uso de clorhexidina 0.12%</w:t>
      </w:r>
    </w:p>
    <w:bookmarkEnd w:id="6"/>
    <w:tbl>
      <w:tblPr>
        <w:tblW w:w="8505" w:type="dxa"/>
        <w:tblLayout w:type="fixed"/>
        <w:tblLook w:val="0000" w:firstRow="0" w:lastRow="0" w:firstColumn="0" w:lastColumn="0" w:noHBand="0" w:noVBand="0"/>
      </w:tblPr>
      <w:tblGrid>
        <w:gridCol w:w="737"/>
        <w:gridCol w:w="2524"/>
        <w:gridCol w:w="1134"/>
        <w:gridCol w:w="708"/>
        <w:gridCol w:w="1560"/>
        <w:gridCol w:w="1842"/>
      </w:tblGrid>
      <w:tr w:rsidR="00032DD2" w:rsidRPr="00E7090B" w14:paraId="70C82758" w14:textId="77777777" w:rsidTr="007607FD">
        <w:tc>
          <w:tcPr>
            <w:tcW w:w="3261" w:type="dxa"/>
            <w:gridSpan w:val="2"/>
            <w:tcBorders>
              <w:top w:val="single" w:sz="4" w:space="0" w:color="000000" w:themeColor="text1"/>
              <w:bottom w:val="single" w:sz="4" w:space="0" w:color="000000" w:themeColor="text1"/>
            </w:tcBorders>
          </w:tcPr>
          <w:p w14:paraId="35B11B91"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p>
        </w:tc>
        <w:tc>
          <w:tcPr>
            <w:tcW w:w="1134" w:type="dxa"/>
            <w:tcBorders>
              <w:top w:val="single" w:sz="4" w:space="0" w:color="000000" w:themeColor="text1"/>
              <w:bottom w:val="single" w:sz="4" w:space="0" w:color="000000" w:themeColor="text1"/>
            </w:tcBorders>
          </w:tcPr>
          <w:p w14:paraId="667B61DD"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Media</w:t>
            </w:r>
          </w:p>
        </w:tc>
        <w:tc>
          <w:tcPr>
            <w:tcW w:w="708" w:type="dxa"/>
            <w:tcBorders>
              <w:top w:val="single" w:sz="4" w:space="0" w:color="000000" w:themeColor="text1"/>
              <w:bottom w:val="single" w:sz="4" w:space="0" w:color="000000" w:themeColor="text1"/>
            </w:tcBorders>
          </w:tcPr>
          <w:p w14:paraId="26665379"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N</w:t>
            </w:r>
          </w:p>
        </w:tc>
        <w:tc>
          <w:tcPr>
            <w:tcW w:w="1560" w:type="dxa"/>
            <w:tcBorders>
              <w:top w:val="single" w:sz="4" w:space="0" w:color="000000" w:themeColor="text1"/>
              <w:bottom w:val="single" w:sz="4" w:space="0" w:color="000000" w:themeColor="text1"/>
            </w:tcBorders>
          </w:tcPr>
          <w:p w14:paraId="3E9D09EC"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Desviación estándar</w:t>
            </w:r>
          </w:p>
        </w:tc>
        <w:tc>
          <w:tcPr>
            <w:tcW w:w="1842" w:type="dxa"/>
            <w:tcBorders>
              <w:top w:val="single" w:sz="4" w:space="0" w:color="000000" w:themeColor="text1"/>
              <w:bottom w:val="single" w:sz="4" w:space="0" w:color="000000" w:themeColor="text1"/>
            </w:tcBorders>
          </w:tcPr>
          <w:p w14:paraId="299268B8"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Media de error estándar</w:t>
            </w:r>
          </w:p>
        </w:tc>
      </w:tr>
      <w:tr w:rsidR="00032DD2" w:rsidRPr="00E7090B" w14:paraId="10384474" w14:textId="77777777" w:rsidTr="007607FD">
        <w:tc>
          <w:tcPr>
            <w:tcW w:w="737" w:type="dxa"/>
            <w:vMerge w:val="restart"/>
            <w:tcBorders>
              <w:top w:val="single" w:sz="4" w:space="0" w:color="000000" w:themeColor="text1"/>
            </w:tcBorders>
          </w:tcPr>
          <w:p w14:paraId="499A4644"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Par 1</w:t>
            </w:r>
          </w:p>
        </w:tc>
        <w:tc>
          <w:tcPr>
            <w:tcW w:w="2524" w:type="dxa"/>
            <w:tcBorders>
              <w:top w:val="single" w:sz="4" w:space="0" w:color="000000" w:themeColor="text1"/>
              <w:bottom w:val="single" w:sz="4" w:space="0" w:color="auto"/>
            </w:tcBorders>
          </w:tcPr>
          <w:p w14:paraId="3E867CBD"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Después del uso de Aloe vera al 5%</w:t>
            </w:r>
          </w:p>
        </w:tc>
        <w:tc>
          <w:tcPr>
            <w:tcW w:w="1134" w:type="dxa"/>
            <w:tcBorders>
              <w:top w:val="single" w:sz="4" w:space="0" w:color="000000" w:themeColor="text1"/>
              <w:bottom w:val="single" w:sz="4" w:space="0" w:color="auto"/>
            </w:tcBorders>
          </w:tcPr>
          <w:p w14:paraId="486C36ED"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2,8000</w:t>
            </w:r>
          </w:p>
        </w:tc>
        <w:tc>
          <w:tcPr>
            <w:tcW w:w="708" w:type="dxa"/>
            <w:tcBorders>
              <w:top w:val="single" w:sz="4" w:space="0" w:color="000000" w:themeColor="text1"/>
              <w:bottom w:val="single" w:sz="4" w:space="0" w:color="auto"/>
            </w:tcBorders>
          </w:tcPr>
          <w:p w14:paraId="7A83FAE2"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40</w:t>
            </w:r>
          </w:p>
        </w:tc>
        <w:tc>
          <w:tcPr>
            <w:tcW w:w="1560" w:type="dxa"/>
            <w:tcBorders>
              <w:top w:val="single" w:sz="4" w:space="0" w:color="000000" w:themeColor="text1"/>
              <w:bottom w:val="single" w:sz="4" w:space="0" w:color="auto"/>
            </w:tcBorders>
          </w:tcPr>
          <w:p w14:paraId="343CB9AC"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,56387</w:t>
            </w:r>
          </w:p>
        </w:tc>
        <w:tc>
          <w:tcPr>
            <w:tcW w:w="1842" w:type="dxa"/>
            <w:tcBorders>
              <w:top w:val="single" w:sz="4" w:space="0" w:color="000000" w:themeColor="text1"/>
              <w:bottom w:val="single" w:sz="4" w:space="0" w:color="auto"/>
            </w:tcBorders>
          </w:tcPr>
          <w:p w14:paraId="18ABC1D8"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,08916</w:t>
            </w:r>
          </w:p>
        </w:tc>
      </w:tr>
      <w:tr w:rsidR="00032DD2" w:rsidRPr="00E7090B" w14:paraId="69EDA221" w14:textId="77777777" w:rsidTr="007607FD">
        <w:tc>
          <w:tcPr>
            <w:tcW w:w="737" w:type="dxa"/>
            <w:vMerge/>
            <w:tcBorders>
              <w:bottom w:val="single" w:sz="4" w:space="0" w:color="auto"/>
            </w:tcBorders>
          </w:tcPr>
          <w:p w14:paraId="59A6C678"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p>
        </w:tc>
        <w:tc>
          <w:tcPr>
            <w:tcW w:w="2524" w:type="dxa"/>
            <w:tcBorders>
              <w:top w:val="single" w:sz="4" w:space="0" w:color="auto"/>
              <w:bottom w:val="single" w:sz="4" w:space="0" w:color="auto"/>
            </w:tcBorders>
          </w:tcPr>
          <w:p w14:paraId="6E18C980"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Después del uso de clorhexidina 0.12%</w:t>
            </w:r>
          </w:p>
        </w:tc>
        <w:tc>
          <w:tcPr>
            <w:tcW w:w="1134" w:type="dxa"/>
            <w:tcBorders>
              <w:top w:val="single" w:sz="4" w:space="0" w:color="auto"/>
              <w:bottom w:val="single" w:sz="4" w:space="0" w:color="auto"/>
            </w:tcBorders>
          </w:tcPr>
          <w:p w14:paraId="47F72085"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2,9750</w:t>
            </w:r>
          </w:p>
        </w:tc>
        <w:tc>
          <w:tcPr>
            <w:tcW w:w="708" w:type="dxa"/>
            <w:tcBorders>
              <w:top w:val="single" w:sz="4" w:space="0" w:color="auto"/>
              <w:bottom w:val="single" w:sz="4" w:space="0" w:color="auto"/>
            </w:tcBorders>
          </w:tcPr>
          <w:p w14:paraId="6EA7733E"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40</w:t>
            </w:r>
          </w:p>
        </w:tc>
        <w:tc>
          <w:tcPr>
            <w:tcW w:w="1560" w:type="dxa"/>
            <w:tcBorders>
              <w:top w:val="single" w:sz="4" w:space="0" w:color="auto"/>
              <w:bottom w:val="single" w:sz="4" w:space="0" w:color="auto"/>
            </w:tcBorders>
          </w:tcPr>
          <w:p w14:paraId="28FD0511"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,42290</w:t>
            </w:r>
          </w:p>
        </w:tc>
        <w:tc>
          <w:tcPr>
            <w:tcW w:w="1842" w:type="dxa"/>
            <w:tcBorders>
              <w:top w:val="single" w:sz="4" w:space="0" w:color="auto"/>
              <w:bottom w:val="single" w:sz="4" w:space="0" w:color="auto"/>
            </w:tcBorders>
          </w:tcPr>
          <w:p w14:paraId="0DB81440"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,06687</w:t>
            </w:r>
          </w:p>
        </w:tc>
      </w:tr>
    </w:tbl>
    <w:p w14:paraId="5C71C5BF" w14:textId="77777777" w:rsidR="00032DD2" w:rsidRPr="00000F64" w:rsidRDefault="00032DD2" w:rsidP="00E7090B">
      <w:pPr>
        <w:autoSpaceDE w:val="0"/>
        <w:autoSpaceDN w:val="0"/>
        <w:adjustRightInd w:val="0"/>
        <w:spacing w:after="0" w:line="480" w:lineRule="auto"/>
        <w:jc w:val="both"/>
        <w:rPr>
          <w:rFonts w:ascii="Times New Roman" w:hAnsi="Times New Roman" w:cs="Times New Roman"/>
          <w:sz w:val="18"/>
          <w:szCs w:val="18"/>
        </w:rPr>
      </w:pPr>
      <w:r w:rsidRPr="00000F64">
        <w:rPr>
          <w:rFonts w:ascii="Times New Roman" w:hAnsi="Times New Roman" w:cs="Times New Roman"/>
          <w:sz w:val="18"/>
          <w:szCs w:val="18"/>
        </w:rPr>
        <w:t>Nota. Comparación de medias y desviación estándar</w:t>
      </w:r>
    </w:p>
    <w:p w14:paraId="13BC1099" w14:textId="07AFF22B" w:rsidR="00000F64" w:rsidRDefault="00000F64">
      <w:pPr>
        <w:rPr>
          <w:rFonts w:ascii="Times New Roman" w:hAnsi="Times New Roman" w:cs="Times New Roman"/>
        </w:rPr>
      </w:pPr>
      <w:r>
        <w:rPr>
          <w:rFonts w:ascii="Times New Roman" w:hAnsi="Times New Roman" w:cs="Times New Roman"/>
        </w:rPr>
        <w:br w:type="page"/>
      </w:r>
    </w:p>
    <w:p w14:paraId="30D579C0"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En la tabla 5 se puede evidenciar que existe una diferencia de medias respecto al uso de Aloe vera al 50% y al uso de clorhexidina 0.12%, observando que una diferencia positiva de 0.175 respecto al uso de uso de clorhexidina al 0.12%.</w:t>
      </w:r>
    </w:p>
    <w:p w14:paraId="6C9D8069" w14:textId="77777777" w:rsidR="00032DD2" w:rsidRPr="00E7090B" w:rsidRDefault="00032DD2" w:rsidP="0016137D">
      <w:pPr>
        <w:autoSpaceDE w:val="0"/>
        <w:autoSpaceDN w:val="0"/>
        <w:adjustRightInd w:val="0"/>
        <w:spacing w:after="0" w:line="240" w:lineRule="auto"/>
        <w:jc w:val="both"/>
        <w:rPr>
          <w:rFonts w:ascii="Times New Roman" w:hAnsi="Times New Roman" w:cs="Times New Roman"/>
        </w:rPr>
      </w:pPr>
      <w:r w:rsidRPr="00E7090B">
        <w:rPr>
          <w:rFonts w:ascii="Times New Roman" w:hAnsi="Times New Roman" w:cs="Times New Roman"/>
          <w:b/>
          <w:bCs/>
        </w:rPr>
        <w:t>Tabla 6.</w:t>
      </w:r>
      <w:r w:rsidRPr="00E7090B">
        <w:rPr>
          <w:rFonts w:ascii="Times New Roman" w:hAnsi="Times New Roman" w:cs="Times New Roman"/>
        </w:rPr>
        <w:t xml:space="preserve"> Diferencias de medias del uso después del uso de Aloe vera al 50% </w:t>
      </w:r>
    </w:p>
    <w:tbl>
      <w:tblPr>
        <w:tblW w:w="5670" w:type="dxa"/>
        <w:tblLayout w:type="fixed"/>
        <w:tblLook w:val="0000" w:firstRow="0" w:lastRow="0" w:firstColumn="0" w:lastColumn="0" w:noHBand="0" w:noVBand="0"/>
      </w:tblPr>
      <w:tblGrid>
        <w:gridCol w:w="2835"/>
        <w:gridCol w:w="2835"/>
      </w:tblGrid>
      <w:tr w:rsidR="00032DD2" w:rsidRPr="00E7090B" w14:paraId="52BC3492" w14:textId="77777777" w:rsidTr="007607FD">
        <w:tc>
          <w:tcPr>
            <w:tcW w:w="5670" w:type="dxa"/>
            <w:gridSpan w:val="2"/>
            <w:tcBorders>
              <w:top w:val="single" w:sz="4" w:space="0" w:color="000000" w:themeColor="text1"/>
              <w:bottom w:val="single" w:sz="4" w:space="0" w:color="000000" w:themeColor="text1"/>
            </w:tcBorders>
          </w:tcPr>
          <w:p w14:paraId="4784F51D"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b/>
                <w:bCs/>
              </w:rPr>
              <w:t>Estadísticos de prueba</w:t>
            </w:r>
            <w:r w:rsidRPr="00E7090B">
              <w:rPr>
                <w:rFonts w:ascii="Times New Roman" w:hAnsi="Times New Roman" w:cs="Times New Roman"/>
                <w:b/>
                <w:bCs/>
                <w:vertAlign w:val="superscript"/>
              </w:rPr>
              <w:t>a</w:t>
            </w:r>
          </w:p>
        </w:tc>
      </w:tr>
      <w:tr w:rsidR="00032DD2" w:rsidRPr="00E7090B" w14:paraId="08E23FB9" w14:textId="77777777" w:rsidTr="007607FD">
        <w:tc>
          <w:tcPr>
            <w:tcW w:w="2835" w:type="dxa"/>
            <w:tcBorders>
              <w:top w:val="single" w:sz="4" w:space="0" w:color="000000" w:themeColor="text1"/>
              <w:bottom w:val="single" w:sz="4" w:space="0" w:color="000000" w:themeColor="text1"/>
            </w:tcBorders>
          </w:tcPr>
          <w:p w14:paraId="1939B97B"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p>
        </w:tc>
        <w:tc>
          <w:tcPr>
            <w:tcW w:w="2835" w:type="dxa"/>
            <w:tcBorders>
              <w:top w:val="single" w:sz="4" w:space="0" w:color="000000" w:themeColor="text1"/>
              <w:bottom w:val="single" w:sz="4" w:space="0" w:color="000000" w:themeColor="text1"/>
            </w:tcBorders>
          </w:tcPr>
          <w:p w14:paraId="568D6180"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Después del uso de Aloe vera al 50%</w:t>
            </w:r>
          </w:p>
        </w:tc>
      </w:tr>
      <w:tr w:rsidR="00032DD2" w:rsidRPr="00E7090B" w14:paraId="0C1E0F18" w14:textId="77777777" w:rsidTr="007607FD">
        <w:tc>
          <w:tcPr>
            <w:tcW w:w="2835" w:type="dxa"/>
            <w:tcBorders>
              <w:top w:val="single" w:sz="4" w:space="0" w:color="000000" w:themeColor="text1"/>
              <w:bottom w:val="single" w:sz="4" w:space="0" w:color="auto"/>
            </w:tcBorders>
          </w:tcPr>
          <w:p w14:paraId="6AB355F9"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U de Mann-Whitney</w:t>
            </w:r>
          </w:p>
        </w:tc>
        <w:tc>
          <w:tcPr>
            <w:tcW w:w="2835" w:type="dxa"/>
            <w:tcBorders>
              <w:top w:val="single" w:sz="4" w:space="0" w:color="000000" w:themeColor="text1"/>
              <w:bottom w:val="single" w:sz="4" w:space="0" w:color="auto"/>
            </w:tcBorders>
          </w:tcPr>
          <w:p w14:paraId="7CF63361"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687,500</w:t>
            </w:r>
          </w:p>
        </w:tc>
      </w:tr>
      <w:tr w:rsidR="00032DD2" w:rsidRPr="00E7090B" w14:paraId="1BA79C0D" w14:textId="77777777" w:rsidTr="007607FD">
        <w:tc>
          <w:tcPr>
            <w:tcW w:w="2835" w:type="dxa"/>
            <w:tcBorders>
              <w:top w:val="single" w:sz="4" w:space="0" w:color="auto"/>
              <w:bottom w:val="single" w:sz="4" w:space="0" w:color="auto"/>
            </w:tcBorders>
          </w:tcPr>
          <w:p w14:paraId="7835D31F"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W de Wilcoxon</w:t>
            </w:r>
          </w:p>
        </w:tc>
        <w:tc>
          <w:tcPr>
            <w:tcW w:w="2835" w:type="dxa"/>
            <w:tcBorders>
              <w:top w:val="single" w:sz="4" w:space="0" w:color="auto"/>
              <w:bottom w:val="single" w:sz="4" w:space="0" w:color="auto"/>
            </w:tcBorders>
          </w:tcPr>
          <w:p w14:paraId="43F1506F"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1507,500</w:t>
            </w:r>
          </w:p>
        </w:tc>
      </w:tr>
      <w:tr w:rsidR="00032DD2" w:rsidRPr="00E7090B" w14:paraId="7FC43367" w14:textId="77777777" w:rsidTr="007607FD">
        <w:tc>
          <w:tcPr>
            <w:tcW w:w="2835" w:type="dxa"/>
            <w:tcBorders>
              <w:top w:val="single" w:sz="4" w:space="0" w:color="auto"/>
              <w:bottom w:val="single" w:sz="4" w:space="0" w:color="auto"/>
            </w:tcBorders>
          </w:tcPr>
          <w:p w14:paraId="081A5D84"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Z</w:t>
            </w:r>
          </w:p>
        </w:tc>
        <w:tc>
          <w:tcPr>
            <w:tcW w:w="2835" w:type="dxa"/>
            <w:tcBorders>
              <w:top w:val="single" w:sz="4" w:space="0" w:color="auto"/>
              <w:bottom w:val="single" w:sz="4" w:space="0" w:color="auto"/>
            </w:tcBorders>
          </w:tcPr>
          <w:p w14:paraId="76824CAB"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-1,486</w:t>
            </w:r>
          </w:p>
        </w:tc>
      </w:tr>
      <w:tr w:rsidR="00032DD2" w:rsidRPr="00E7090B" w14:paraId="3815D8F7" w14:textId="77777777" w:rsidTr="007607FD">
        <w:tc>
          <w:tcPr>
            <w:tcW w:w="2835" w:type="dxa"/>
            <w:tcBorders>
              <w:top w:val="single" w:sz="4" w:space="0" w:color="auto"/>
              <w:bottom w:val="single" w:sz="4" w:space="0" w:color="000000" w:themeColor="text1"/>
            </w:tcBorders>
          </w:tcPr>
          <w:p w14:paraId="24F4FD37"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Sig. asin. (bilateral)</w:t>
            </w:r>
          </w:p>
        </w:tc>
        <w:tc>
          <w:tcPr>
            <w:tcW w:w="2835" w:type="dxa"/>
            <w:tcBorders>
              <w:top w:val="single" w:sz="4" w:space="0" w:color="auto"/>
              <w:bottom w:val="single" w:sz="4" w:space="0" w:color="000000" w:themeColor="text1"/>
            </w:tcBorders>
          </w:tcPr>
          <w:p w14:paraId="65A2F820"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,137</w:t>
            </w:r>
          </w:p>
        </w:tc>
      </w:tr>
      <w:tr w:rsidR="00032DD2" w:rsidRPr="00E7090B" w14:paraId="3181F82F" w14:textId="77777777" w:rsidTr="007607FD">
        <w:tc>
          <w:tcPr>
            <w:tcW w:w="5670" w:type="dxa"/>
            <w:gridSpan w:val="2"/>
            <w:tcBorders>
              <w:top w:val="single" w:sz="4" w:space="0" w:color="000000" w:themeColor="text1"/>
              <w:bottom w:val="single" w:sz="4" w:space="0" w:color="auto"/>
            </w:tcBorders>
          </w:tcPr>
          <w:p w14:paraId="39314071"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r w:rsidRPr="00E7090B">
              <w:rPr>
                <w:rFonts w:ascii="Times New Roman" w:hAnsi="Times New Roman" w:cs="Times New Roman"/>
              </w:rPr>
              <w:t>a. Variable de agrupación: GRUPO</w:t>
            </w:r>
          </w:p>
        </w:tc>
      </w:tr>
    </w:tbl>
    <w:p w14:paraId="3C439E46" w14:textId="77777777" w:rsidR="00032DD2" w:rsidRPr="00501848" w:rsidRDefault="00032DD2" w:rsidP="00E7090B">
      <w:pPr>
        <w:autoSpaceDE w:val="0"/>
        <w:autoSpaceDN w:val="0"/>
        <w:adjustRightInd w:val="0"/>
        <w:spacing w:after="0" w:line="480" w:lineRule="auto"/>
        <w:jc w:val="both"/>
        <w:rPr>
          <w:rFonts w:ascii="Times New Roman" w:hAnsi="Times New Roman" w:cs="Times New Roman"/>
          <w:sz w:val="18"/>
          <w:szCs w:val="18"/>
        </w:rPr>
      </w:pPr>
      <w:r w:rsidRPr="00501848">
        <w:rPr>
          <w:rFonts w:ascii="Times New Roman" w:hAnsi="Times New Roman" w:cs="Times New Roman"/>
          <w:sz w:val="18"/>
          <w:szCs w:val="18"/>
        </w:rPr>
        <w:t>Nota. Comparación de medias a través de U de Mann-Whitney</w:t>
      </w:r>
    </w:p>
    <w:p w14:paraId="091BAAD7"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rPr>
      </w:pPr>
    </w:p>
    <w:p w14:paraId="0575B18E" w14:textId="77777777" w:rsidR="00032DD2" w:rsidRPr="00E7090B" w:rsidRDefault="00032DD2" w:rsidP="00E7090B">
      <w:pPr>
        <w:autoSpaceDE w:val="0"/>
        <w:autoSpaceDN w:val="0"/>
        <w:adjustRightInd w:val="0"/>
        <w:spacing w:after="0" w:line="480" w:lineRule="auto"/>
        <w:jc w:val="both"/>
        <w:rPr>
          <w:rFonts w:ascii="Times New Roman" w:hAnsi="Times New Roman" w:cs="Times New Roman"/>
          <w:b/>
          <w:bCs/>
        </w:rPr>
      </w:pPr>
      <w:r w:rsidRPr="00E7090B">
        <w:rPr>
          <w:rFonts w:ascii="Times New Roman" w:hAnsi="Times New Roman" w:cs="Times New Roman"/>
        </w:rPr>
        <w:t>Según los datos de la tabla 6, al aplicar la Prueba de U de Mann-Whitney se obtuvo un valor de sig. = 0,00 (p – valor &lt; 0.05) por lo cual se rechaza la hipótesis alterna y se concluye que el enjuague bucal de Aloe Vera al 50% no es eficaz con relación a la clorhexidina 0.12% para la reducción de la placa bacteriana en la I. E. Divino Maestro, San Rafael 2023.</w:t>
      </w:r>
    </w:p>
    <w:p w14:paraId="1DB1A242" w14:textId="77777777" w:rsidR="00032DD2" w:rsidRPr="00E7090B" w:rsidRDefault="00032DD2" w:rsidP="00E7090B">
      <w:pPr>
        <w:spacing w:after="0" w:line="480" w:lineRule="auto"/>
        <w:jc w:val="both"/>
        <w:rPr>
          <w:rFonts w:ascii="Times New Roman" w:hAnsi="Times New Roman" w:cs="Times New Roman"/>
          <w:b/>
          <w:color w:val="000000" w:themeColor="text1"/>
        </w:rPr>
      </w:pPr>
      <w:r w:rsidRPr="00E7090B">
        <w:rPr>
          <w:rFonts w:ascii="Times New Roman" w:hAnsi="Times New Roman" w:cs="Times New Roman"/>
          <w:b/>
          <w:color w:val="000000" w:themeColor="text1"/>
        </w:rPr>
        <w:t>CONCLUSIONES</w:t>
      </w:r>
    </w:p>
    <w:p w14:paraId="2438EDFD" w14:textId="77777777" w:rsidR="00032DD2" w:rsidRPr="00E7090B" w:rsidRDefault="00032DD2" w:rsidP="00E7090B">
      <w:pPr>
        <w:spacing w:after="0" w:line="480" w:lineRule="auto"/>
        <w:jc w:val="both"/>
        <w:rPr>
          <w:rFonts w:ascii="Times New Roman" w:hAnsi="Times New Roman" w:cs="Times New Roman"/>
        </w:rPr>
      </w:pPr>
      <w:r w:rsidRPr="00E7090B">
        <w:rPr>
          <w:rFonts w:ascii="Times New Roman" w:hAnsi="Times New Roman" w:cs="Times New Roman"/>
        </w:rPr>
        <w:t>El estudio evidencia que el uso del enjuague bucal a base de aloe vera al 50% fue eficaz para reducir la placa bacteriana, ya que se comprobó que los promedios de los cinco días de uso el IHO-S fue regular en un 72.5% y el 5% el IHO-S fue optima en contraposición a los promedios del no uso de dicho enjuague en donde el IHO-S fue regular en un 7.5% y un 0% el IHO-S fue optima, teniendo una diferencia de medias positiva de 1.125, demostrando una mejora en la reducción de la placa bacteriana. La mejora del índice de placa bacteriana es progresiva a medida que se prolonga el uso del enjuague bucal de aloe vera al 50%, en donde se evidencio que, en el primer día de uso, el IHO-S fue regular en un 35% y optima en un 2.5%, mientras que, al quinto día de uso, el IHO-S fue regular en un 70% y el 22.5 % fue optima. El uso de enjuague bucal en el día cinco mejoró la reducción de placa bacteriana, dado que la eficacia regular se incrementó en un 57.5% y la eficacia optima en un 22.5%. Los resultados demostraron que se redujo el IHO-S muy malo en las dos tomas de muestra del antes y después del uso del enjuague bucal del aloe vera al 50% en donde se empezó con un 25% en el primer día y un 7.5% al quinto día antes del uso del enjuague, mientras que después del uso del enjuague en el primer día fue de un 2.5% y al quinto día fue 0%, teniendo como promedio de las cinco tomas de muestra antes del uso en un 40% y después del uso en un 2.5%. La efectividad del uso del enjuague bucal a base clorhexidina al 0.12% el 82.5% el IHO-S fue regular y el 7.5% fue optima como resultado de los promedios de los cinco días de uso, siendo ligeramente más efectivo en un 10% bajar el IHO-S regular y 2.5% en bajar a optima en comparación al uso del enjuague bucal de aloe vera al 50% para  un 10% comparación al enjuague de aloe vera al 50%, teniendo una diferencia positiva de 0.175 para reducir la placa bacteriana la clorhexidina al 0.12% como enjuague bucal. Esta investigación llego a la conclusión que el enjuague bucal de aloe vera al 50% ayuda a reducir la placa bacteriana, pero si lo comparamos con la clorhexidina al 0.12%, este enjuague a base de aloe vera es menos eficaz en la reducción de la placa bacteriana en los alumnos de la I. E. Divino Maestro ya que la prueba estadística de la U de Mann-Whitney obtuvo un valor de significancia de 0,00 (p&lt; 0.05).</w:t>
      </w:r>
    </w:p>
    <w:p w14:paraId="4EE7328D" w14:textId="4204E90F" w:rsidR="00032DD2" w:rsidRPr="00E7090B" w:rsidRDefault="00032DD2" w:rsidP="00E7090B">
      <w:pPr>
        <w:tabs>
          <w:tab w:val="left" w:pos="851"/>
        </w:tabs>
        <w:spacing w:after="0" w:line="480" w:lineRule="auto"/>
        <w:jc w:val="both"/>
        <w:rPr>
          <w:rFonts w:ascii="Times New Roman" w:hAnsi="Times New Roman" w:cs="Times New Roman"/>
          <w:b/>
          <w:bCs/>
        </w:rPr>
      </w:pPr>
      <w:r w:rsidRPr="00E7090B">
        <w:rPr>
          <w:rFonts w:ascii="Times New Roman" w:hAnsi="Times New Roman" w:cs="Times New Roman"/>
          <w:b/>
          <w:bCs/>
        </w:rPr>
        <w:t>REFERENCIAS</w:t>
      </w:r>
      <w:r w:rsidR="00501848">
        <w:rPr>
          <w:rFonts w:ascii="Times New Roman" w:hAnsi="Times New Roman" w:cs="Times New Roman"/>
          <w:b/>
          <w:bCs/>
        </w:rPr>
        <w:t xml:space="preserve"> BIBLIOGRÁFICAS</w:t>
      </w:r>
    </w:p>
    <w:p w14:paraId="764CE3A0"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Amézquita MD, Mora LA. (2023). Revisión bibliográfica sobre el Aloe vera para tratamiento y evaluación en patologías cutáneas tales como acné, quemaduras y eczema [internet]. Bogotá: Universidad el Bosque [consultado 2024 agosto 24]. Disponible en:</w:t>
      </w:r>
    </w:p>
    <w:p w14:paraId="7EC55946" w14:textId="77777777" w:rsidR="00032DD2" w:rsidRPr="00E7090B" w:rsidRDefault="00032DD2" w:rsidP="00501848">
      <w:pPr>
        <w:spacing w:after="0" w:line="480" w:lineRule="auto"/>
        <w:ind w:left="709" w:hanging="709"/>
        <w:jc w:val="both"/>
        <w:rPr>
          <w:rFonts w:ascii="Times New Roman" w:hAnsi="Times New Roman" w:cs="Times New Roman"/>
        </w:rPr>
      </w:pPr>
      <w:hyperlink r:id="rId13" w:history="1">
        <w:r w:rsidRPr="00E7090B">
          <w:rPr>
            <w:rStyle w:val="Hipervnculo"/>
            <w:rFonts w:ascii="Times New Roman" w:eastAsia="Times New Roman" w:hAnsi="Times New Roman" w:cs="Times New Roman"/>
            <w:iCs/>
            <w:lang w:eastAsia="es-ES"/>
          </w:rPr>
          <w:t>https://repositorio.unbosque.edu.co/server/api/core/bitstreams/ecfd2fb3-e120-4faa-9bd2-7b43b281dc6e/content</w:t>
        </w:r>
      </w:hyperlink>
    </w:p>
    <w:p w14:paraId="73FEBED9"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Aparicio SV, Carranza BS, Chávez SA, Quispe LS, Palomino CA, Peralta AN, Robles JM. (2023) Eficacia farmacológica del Aloe vera en la cicatrización de heridas: una revisión narrativa. Revista Facultad de Medicina Humana [internet]. 13(1): 110-120 [consultado 2024 agosto 24]. Disponible en: </w:t>
      </w:r>
    </w:p>
    <w:p w14:paraId="0EEC84BE"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14" w:history="1">
        <w:r w:rsidRPr="00E7090B">
          <w:rPr>
            <w:rStyle w:val="Hipervnculo"/>
            <w:rFonts w:ascii="Times New Roman" w:hAnsi="Times New Roman" w:cs="Times New Roman"/>
          </w:rPr>
          <w:t>http://www.scielo.org.pe/scielo.php?script=sci_arttext&amp;pid=S230805312023000100110</w:t>
        </w:r>
      </w:hyperlink>
    </w:p>
    <w:p w14:paraId="22AD34E2"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Arciniega SC. (2024). Eficacia de la clorhexidina sobre microorganismos de la cavidad bucal. Revisión bibliográfica [internet]. Ecuador: Universidad Nacional de Loja [consultado 2024 agosto 24]. Disponible en: </w:t>
      </w:r>
    </w:p>
    <w:p w14:paraId="69D27CFE"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15" w:history="1">
        <w:r w:rsidRPr="00E7090B">
          <w:rPr>
            <w:rStyle w:val="Hipervnculo"/>
            <w:rFonts w:ascii="Times New Roman" w:hAnsi="Times New Roman" w:cs="Times New Roman"/>
          </w:rPr>
          <w:t>https://dspace.unl.edu.ec/jspui/bitstream/123456789/24388/1/StefaniaCarolina_ArciniegaAguilar%281%29.pdf</w:t>
        </w:r>
      </w:hyperlink>
    </w:p>
    <w:p w14:paraId="4B1213A2"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Artunduaga KL, Vargas DA, Barrera OM. (2021). Conservación de las propiedades nutracéuticas del aloe vera (Aloe barbadensis Miller), mediante técnicas de secado. Revista Ingeniería y Región [internet] 25(1): 6-21 [consultado 2023 setiembre 22]. Disponible en: </w:t>
      </w:r>
    </w:p>
    <w:p w14:paraId="0F881542"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16" w:anchor=":~:text=Se%20determin%C3%B3%2C%20que%20las%20t%C3%A9cnicas%20que%20permite%20la,sensibilidad%20del%20gel%20a%20temperaturas%20superiores%20a%2050%C2%B0C%29" w:history="1">
        <w:r w:rsidRPr="00E7090B">
          <w:rPr>
            <w:rStyle w:val="Hipervnculo"/>
            <w:rFonts w:ascii="Times New Roman" w:hAnsi="Times New Roman" w:cs="Times New Roman"/>
          </w:rPr>
          <w:t>https://dialnet.unirioja.es/servlet/articulo?codigo=8159801#:~:text=Se%20determin%C3%B3%2C%20que%20las%20t%C3%A9cnicas%20que%20permite%20la,sensibilidad%20del%20gel%20a%20temperaturas%20superiores%20a%2050%C2%B0C%29</w:t>
        </w:r>
      </w:hyperlink>
      <w:r w:rsidRPr="00E7090B">
        <w:rPr>
          <w:rFonts w:ascii="Times New Roman" w:hAnsi="Times New Roman" w:cs="Times New Roman"/>
          <w:color w:val="000000" w:themeColor="text1"/>
        </w:rPr>
        <w:t>.</w:t>
      </w:r>
    </w:p>
    <w:p w14:paraId="72A42B90"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Blanco J y Millones PA. (2020). Efecto cicatrizante del gel de Aloe vera con Erythroxylum coca en modelo animal. Revista Medicina Naturista [internet] 14(1): 65-74 [consultado 2023 setiembre 22]. Disponible en:</w:t>
      </w:r>
    </w:p>
    <w:p w14:paraId="1F28220F"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17" w:anchor=":~:text=Efecto%20cicatrizante%20del%20gel%20de%20aloe%20vera%20con%20%22erythroxylum%20coca" w:history="1">
        <w:r w:rsidRPr="00E7090B">
          <w:rPr>
            <w:rStyle w:val="Hipervnculo"/>
            <w:rFonts w:ascii="Times New Roman" w:hAnsi="Times New Roman" w:cs="Times New Roman"/>
          </w:rPr>
          <w:t>https://dialnet.unirioja.es/servlet/articulo?codigo=7248978#:~:text=Efecto%20cicatrizante%20del%20gel%20de%20aloe%20vera%20con%20%22erythroxylum%20coca</w:t>
        </w:r>
      </w:hyperlink>
    </w:p>
    <w:p w14:paraId="61AF5EE8"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Burgueño Z, Zabala B, Pérez MC, Giménez V, Sánchez SQ, Ventura M. (2024). Control de la placa bacteriana dental. Revista sanitaria de investigación [internet] 5(3): 2660-7085 [consultado 2024 julio 24]. Disponible en: </w:t>
      </w:r>
    </w:p>
    <w:p w14:paraId="1FD8D2BC"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18" w:history="1">
        <w:r w:rsidRPr="00E7090B">
          <w:rPr>
            <w:rStyle w:val="Hipervnculo"/>
            <w:rFonts w:ascii="Times New Roman" w:hAnsi="Times New Roman" w:cs="Times New Roman"/>
          </w:rPr>
          <w:t>https://dialnet.unirioja.es/servlet/articulo?codigo=9445689</w:t>
        </w:r>
      </w:hyperlink>
    </w:p>
    <w:p w14:paraId="5C1931B7"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Guerra KT, Guzman KTX. (2020). Potencial antimicrobiano de Aloe vera (sábila) sobre microorganismos de interés estomatológico: Una revisión [internet]. Piura: Universidad César Vallejo [consultado 2023 setiembre 22]. Disponible en: </w:t>
      </w:r>
    </w:p>
    <w:p w14:paraId="4D9514E4"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19" w:history="1">
        <w:r w:rsidRPr="00E7090B">
          <w:rPr>
            <w:rStyle w:val="Hipervnculo"/>
            <w:rFonts w:ascii="Times New Roman" w:eastAsia="Times New Roman" w:hAnsi="Times New Roman" w:cs="Times New Roman"/>
            <w:iCs/>
            <w:lang w:eastAsia="es-ES"/>
          </w:rPr>
          <w:t>https://repositorio.ucv.edu.pe/bitstream/handle/20.500.12692/51854/Guerra_CKT-Guzman_RKMX-SD.pdf?sequence=1&amp;isAllowed=y</w:t>
        </w:r>
      </w:hyperlink>
    </w:p>
    <w:p w14:paraId="6B4F5FBE"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Hernández LC, Caipa LM, Landinez KL. (2023). Diseño de un producto tipo crema de aplicación tópica para el cuidado de la piel con inclusión de aloe vera [internet]. Bogotá: Universidad ECCI [consultado 2024 agosto 24]. Disponible en: </w:t>
      </w:r>
    </w:p>
    <w:p w14:paraId="5F18F1F6"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20" w:history="1">
        <w:r w:rsidRPr="00E7090B">
          <w:rPr>
            <w:rStyle w:val="Hipervnculo"/>
            <w:rFonts w:ascii="Times New Roman" w:eastAsia="Times New Roman" w:hAnsi="Times New Roman" w:cs="Times New Roman"/>
            <w:iCs/>
            <w:lang w:eastAsia="es-ES"/>
          </w:rPr>
          <w:t>https://repositorio.ecci.edu.co/bitstream/handle/001/3606/Trabajo%20de%20grado.pdf?sequence=1&amp;isAllowed=y</w:t>
        </w:r>
      </w:hyperlink>
    </w:p>
    <w:p w14:paraId="5B07409C"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Lobato AF. (2024). La caries y placa bacteriana con relación a los aspectos sociofamiliares [internet]. Ecuador: Universidad Nacional de Chimborazo [consultado 2024 agosto 24]. Disponible en: </w:t>
      </w:r>
    </w:p>
    <w:p w14:paraId="40467D22" w14:textId="77777777" w:rsidR="00032DD2" w:rsidRPr="00E7090B" w:rsidRDefault="00032DD2" w:rsidP="00501848">
      <w:pPr>
        <w:spacing w:after="0" w:line="480" w:lineRule="auto"/>
        <w:ind w:left="709" w:hanging="709"/>
        <w:jc w:val="both"/>
        <w:rPr>
          <w:rFonts w:ascii="Times New Roman" w:hAnsi="Times New Roman" w:cs="Times New Roman"/>
          <w:color w:val="C00000"/>
        </w:rPr>
      </w:pPr>
      <w:hyperlink r:id="rId21" w:history="1">
        <w:r w:rsidRPr="00E7090B">
          <w:rPr>
            <w:rStyle w:val="Hipervnculo"/>
            <w:rFonts w:ascii="Times New Roman" w:hAnsi="Times New Roman" w:cs="Times New Roman"/>
          </w:rPr>
          <w:t>http://dspace.unach.edu.ec/bitstream/51000/11253/1/Lobato%20Cabrera%2c%20A%20%282023%29%20La%20caries%20y%20placa%20bacteriana%20con%20relaci%c3%b3n%20a%20los%20aspectos%20sociofamiliares%20%28Tesis%20de%20Pregrado%29Universidad%20Nacional%20de%20Chimborazo%2c%20Riobamba%2c%20Ecuador%29.pdf</w:t>
        </w:r>
      </w:hyperlink>
    </w:p>
    <w:p w14:paraId="6B3B60BC"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Morón M. (2021). Los biofilms orales y sus consecuencias en la caries dental y enfermedad periodontal. Ciencia e innovación en salud [internet] e134: 269-277 [consultado 2023 setiembre 22]. Disponible en: </w:t>
      </w:r>
    </w:p>
    <w:p w14:paraId="5FFAEEE7" w14:textId="77777777" w:rsidR="00032DD2" w:rsidRPr="00E7090B" w:rsidRDefault="00032DD2" w:rsidP="00501848">
      <w:pPr>
        <w:spacing w:after="0" w:line="480" w:lineRule="auto"/>
        <w:ind w:left="709" w:hanging="709"/>
        <w:jc w:val="both"/>
        <w:rPr>
          <w:rFonts w:ascii="Times New Roman" w:hAnsi="Times New Roman" w:cs="Times New Roman"/>
        </w:rPr>
      </w:pPr>
      <w:hyperlink r:id="rId22" w:history="1">
        <w:r w:rsidRPr="00E7090B">
          <w:rPr>
            <w:rStyle w:val="Hipervnculo"/>
            <w:rFonts w:ascii="Times New Roman" w:hAnsi="Times New Roman" w:cs="Times New Roman"/>
          </w:rPr>
          <w:t>https://revistas.unisimon.edu.co/index.php/innovacionsalud/article/view/4754/5257</w:t>
        </w:r>
      </w:hyperlink>
      <w:r w:rsidRPr="00E7090B">
        <w:rPr>
          <w:rStyle w:val="Hipervnculo"/>
          <w:rFonts w:ascii="Times New Roman" w:hAnsi="Times New Roman" w:cs="Times New Roman"/>
          <w:color w:val="000000" w:themeColor="text1"/>
        </w:rPr>
        <w:t xml:space="preserve"> </w:t>
      </w:r>
    </w:p>
    <w:p w14:paraId="38ABEF42" w14:textId="77777777" w:rsidR="00032DD2" w:rsidRPr="00E7090B" w:rsidRDefault="00032DD2" w:rsidP="00501848">
      <w:pPr>
        <w:spacing w:after="0" w:line="480" w:lineRule="auto"/>
        <w:ind w:left="709" w:hanging="709"/>
        <w:jc w:val="both"/>
        <w:rPr>
          <w:rFonts w:ascii="Times New Roman" w:hAnsi="Times New Roman" w:cs="Times New Roman"/>
        </w:rPr>
      </w:pPr>
      <w:r w:rsidRPr="00E7090B">
        <w:rPr>
          <w:rFonts w:ascii="Times New Roman" w:hAnsi="Times New Roman" w:cs="Times New Roman"/>
        </w:rPr>
        <w:t xml:space="preserve">Organización mundial de la salud. (2023). Informe sobre la situación mundial de la salud bucodental: Hacia la cobertura sanitaria universal para la salud bucodental de aquí a 2030 [internet]. [consultado 2023 setiembre 22]. Disponible en: </w:t>
      </w:r>
    </w:p>
    <w:p w14:paraId="37067A90" w14:textId="77777777" w:rsidR="00032DD2" w:rsidRPr="00E7090B" w:rsidRDefault="00032DD2" w:rsidP="00501848">
      <w:pPr>
        <w:spacing w:after="0" w:line="480" w:lineRule="auto"/>
        <w:ind w:left="709" w:hanging="709"/>
        <w:jc w:val="both"/>
        <w:rPr>
          <w:rStyle w:val="Hipervnculo"/>
          <w:rFonts w:ascii="Times New Roman" w:hAnsi="Times New Roman" w:cs="Times New Roman"/>
        </w:rPr>
      </w:pPr>
      <w:hyperlink r:id="rId23" w:history="1">
        <w:r w:rsidRPr="00E7090B">
          <w:rPr>
            <w:rStyle w:val="Hipervnculo"/>
            <w:rFonts w:ascii="Times New Roman" w:hAnsi="Times New Roman" w:cs="Times New Roman"/>
          </w:rPr>
          <w:t>https://iris.who.int/bitstream/handle/10665/364907/9789240061880-spa.pdf?sequence=1</w:t>
        </w:r>
      </w:hyperlink>
    </w:p>
    <w:p w14:paraId="0E98BA03"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Panduro CF, Gadea LT. (2023). Relación entre percepción de salud bucal e higiene oral en estudiantes del C. E. P. M. 60053 Gral. EP. Augusto Freyre García Iquitos 2023 [internet]. Iquitos: Universidad Científica del Perú [consultado 2024 agosto 24]. Disponible en: </w:t>
      </w:r>
    </w:p>
    <w:p w14:paraId="1424B473"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24" w:history="1">
        <w:r w:rsidRPr="00E7090B">
          <w:rPr>
            <w:rStyle w:val="Hipervnculo"/>
            <w:rFonts w:ascii="Times New Roman" w:hAnsi="Times New Roman" w:cs="Times New Roman"/>
          </w:rPr>
          <w:t>http://repositorio.ucp.edu.pe:8080/server/api/core/bitstreams/4cc252a6-49f5-45cd-a376-9468faeb4baa/content</w:t>
        </w:r>
      </w:hyperlink>
    </w:p>
    <w:p w14:paraId="5F2B4B75"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Rubio S, Sáenz CA, Osorio E. (2022). Sábila (Aloe Vera): propiedades, usos y problemas. CIENCIA UANL [internet] 12(1): 25-30 [consultado 2023 setiembre 22]. Disponible en:</w:t>
      </w:r>
    </w:p>
    <w:p w14:paraId="1AFAC3BD" w14:textId="77777777" w:rsidR="00032DD2" w:rsidRPr="00E7090B" w:rsidRDefault="00032DD2" w:rsidP="00501848">
      <w:pPr>
        <w:spacing w:after="0" w:line="480" w:lineRule="auto"/>
        <w:ind w:left="709" w:hanging="709"/>
        <w:jc w:val="both"/>
        <w:rPr>
          <w:rStyle w:val="Hipervnculo"/>
          <w:rFonts w:ascii="Times New Roman" w:hAnsi="Times New Roman" w:cs="Times New Roman"/>
          <w:color w:val="000000" w:themeColor="text1"/>
        </w:rPr>
      </w:pPr>
      <w:hyperlink r:id="rId25" w:anchor=":~:text=RESUMEN%20La%20s%C3%A1bila%20(Alove%20vera)%20es%20una%20especie%20de%20suma" w:history="1">
        <w:r w:rsidRPr="00E7090B">
          <w:rPr>
            <w:rStyle w:val="Hipervnculo"/>
            <w:rFonts w:ascii="Times New Roman" w:hAnsi="Times New Roman" w:cs="Times New Roman"/>
          </w:rPr>
          <w:t>https://www.researchgate.net/publication/355191811_Sabila_Aloe_vera_propiedades_usos_y_problemas#:~:text=RESUMEN%20La%20s%C3%A1bila%20(Alove%20vera)%20es%20una%20especie%20de%20suma</w:t>
        </w:r>
      </w:hyperlink>
    </w:p>
    <w:p w14:paraId="2133E348"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Style w:val="Hipervnculo"/>
          <w:rFonts w:ascii="Times New Roman" w:hAnsi="Times New Roman" w:cs="Times New Roman"/>
          <w:color w:val="000000" w:themeColor="text1"/>
          <w:lang w:val="en-US"/>
        </w:rPr>
        <w:t xml:space="preserve">Sonawane SK, Gokhale JS, Mulla MZ, Kandu VR, Patil S. (2021). </w:t>
      </w:r>
      <w:r w:rsidRPr="00E7090B">
        <w:rPr>
          <w:rFonts w:ascii="Times New Roman" w:hAnsi="Times New Roman" w:cs="Times New Roman"/>
          <w:color w:val="000000" w:themeColor="text1"/>
          <w:lang w:val="en-US"/>
        </w:rPr>
        <w:t xml:space="preserve">A comprehensive overview of functional and rheological properties of aloe vera and its application in foods. </w:t>
      </w:r>
      <w:r w:rsidRPr="00E7090B">
        <w:rPr>
          <w:rFonts w:ascii="Times New Roman" w:hAnsi="Times New Roman" w:cs="Times New Roman"/>
          <w:color w:val="000000" w:themeColor="text1"/>
        </w:rPr>
        <w:t>Revista Ciencia Técnica Alimentaria [internet]. 2021; 58(4): 1217-1226 [consultado 2023 setiembre 22]. Disponible en:</w:t>
      </w:r>
    </w:p>
    <w:p w14:paraId="5EA30EC8"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26" w:history="1">
        <w:r w:rsidRPr="00E7090B">
          <w:rPr>
            <w:rStyle w:val="Hipervnculo"/>
            <w:rFonts w:ascii="Times New Roman" w:hAnsi="Times New Roman" w:cs="Times New Roman"/>
          </w:rPr>
          <w:t>https://www.ncbi.nlm.nih.gov/pmc/articles/PMC7925795/pdf/13197_2020_Article_4661.pdf</w:t>
        </w:r>
      </w:hyperlink>
    </w:p>
    <w:p w14:paraId="307AEF64"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Valencia NP. Estudio comparativo entre aloe vera y oleozón, en el tratamiento de estomatitis subprotésica. (2022). Una revisión sistemática. Revista Polo del Conocimiento [internet]. 7(10): 370-390 [consultado 2023 setiembre 22]. Disponible en: </w:t>
      </w:r>
    </w:p>
    <w:p w14:paraId="773E95E8"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27" w:history="1">
        <w:r w:rsidRPr="00E7090B">
          <w:rPr>
            <w:rStyle w:val="Hipervnculo"/>
            <w:rFonts w:ascii="Times New Roman" w:hAnsi="Times New Roman" w:cs="Times New Roman"/>
          </w:rPr>
          <w:t>https://polodelconocimiento.com/ojs/index.php/es/article/view/4735/11381</w:t>
        </w:r>
      </w:hyperlink>
    </w:p>
    <w:p w14:paraId="3709E988"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r w:rsidRPr="00E7090B">
        <w:rPr>
          <w:rFonts w:ascii="Times New Roman" w:hAnsi="Times New Roman" w:cs="Times New Roman"/>
          <w:color w:val="000000" w:themeColor="text1"/>
        </w:rPr>
        <w:t xml:space="preserve">Vargas KE, Chipana CR, Arriola LE. (2019). Condiciones de salud oral, higiene oral y estado nutricional en niños que acuden a un establecimiento de salud de la Región Huánuco, Perú. Revista Perú MED EXP Salud Publica [internet] 36(4): 653-657 [consultado 2023 setiembre 22]. Disponible en: </w:t>
      </w:r>
    </w:p>
    <w:p w14:paraId="1250D0D0"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28" w:history="1">
        <w:r w:rsidRPr="00E7090B">
          <w:rPr>
            <w:rStyle w:val="Hipervnculo"/>
            <w:rFonts w:ascii="Times New Roman" w:hAnsi="Times New Roman" w:cs="Times New Roman"/>
          </w:rPr>
          <w:t>https://www.scielosp.org/pdf/rpmesp/2019.v36n4/653-657/es</w:t>
        </w:r>
      </w:hyperlink>
    </w:p>
    <w:p w14:paraId="41677D33" w14:textId="77777777" w:rsidR="00032DD2" w:rsidRPr="00E7090B" w:rsidRDefault="00032DD2" w:rsidP="00501848">
      <w:pPr>
        <w:spacing w:after="0" w:line="480" w:lineRule="auto"/>
        <w:ind w:left="709" w:hanging="709"/>
        <w:jc w:val="both"/>
        <w:rPr>
          <w:rFonts w:ascii="Times New Roman" w:hAnsi="Times New Roman" w:cs="Times New Roman"/>
        </w:rPr>
      </w:pPr>
      <w:r w:rsidRPr="00E7090B">
        <w:rPr>
          <w:rFonts w:ascii="Times New Roman" w:hAnsi="Times New Roman" w:cs="Times New Roman"/>
        </w:rPr>
        <w:t xml:space="preserve">Villalva EC. (2023). Efectividad de la sábila (aloe vera) como efecto antiinflmatorio sobre la gingivitis. Revisión bibliográfica [internet]. Ecuador: Universidad Regional Autónoma de los Andes; 2023; [consultado 2024 setiembre 22]. Disponible en: </w:t>
      </w:r>
    </w:p>
    <w:p w14:paraId="3A3AEBDD" w14:textId="77777777" w:rsidR="00032DD2" w:rsidRPr="00E7090B" w:rsidRDefault="00032DD2" w:rsidP="00501848">
      <w:pPr>
        <w:spacing w:after="0" w:line="480" w:lineRule="auto"/>
        <w:ind w:left="709" w:hanging="709"/>
        <w:jc w:val="both"/>
        <w:rPr>
          <w:rFonts w:ascii="Times New Roman" w:hAnsi="Times New Roman" w:cs="Times New Roman"/>
          <w:color w:val="000000" w:themeColor="text1"/>
        </w:rPr>
      </w:pPr>
      <w:hyperlink r:id="rId29" w:history="1">
        <w:r w:rsidRPr="00E7090B">
          <w:rPr>
            <w:rStyle w:val="Hipervnculo"/>
            <w:rFonts w:ascii="Times New Roman" w:hAnsi="Times New Roman" w:cs="Times New Roman"/>
          </w:rPr>
          <w:t>https://dspace.uniandes.edu.ec/bitstream/123456789/16266/1/UA-ODO-EAC-033-2023.pdf</w:t>
        </w:r>
      </w:hyperlink>
    </w:p>
    <w:p w14:paraId="55055B98" w14:textId="77777777" w:rsidR="00032DD2" w:rsidRPr="00E7090B" w:rsidRDefault="00032DD2" w:rsidP="00501848">
      <w:pPr>
        <w:pStyle w:val="Prrafodelista"/>
        <w:spacing w:after="0" w:line="480" w:lineRule="auto"/>
        <w:ind w:left="709" w:hanging="709"/>
        <w:jc w:val="both"/>
        <w:rPr>
          <w:rFonts w:ascii="Times New Roman" w:eastAsia="Times New Roman" w:hAnsi="Times New Roman" w:cs="Times New Roman"/>
          <w:b/>
          <w:iCs/>
        </w:rPr>
      </w:pPr>
    </w:p>
    <w:sectPr w:rsidR="00032DD2" w:rsidRPr="00E7090B" w:rsidSect="00B96F4D">
      <w:footerReference w:type="default" r:id="rId30"/>
      <w:pgSz w:w="11910" w:h="16840"/>
      <w:pgMar w:top="1418" w:right="1418" w:bottom="1418" w:left="1418" w:header="709" w:footer="709" w:gutter="0"/>
      <w:pgNumType w:start="48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1F14E" w14:textId="77777777" w:rsidR="0019389D" w:rsidRDefault="0019389D" w:rsidP="00D54C57">
      <w:pPr>
        <w:spacing w:after="0" w:line="240" w:lineRule="auto"/>
      </w:pPr>
      <w:r>
        <w:separator/>
      </w:r>
    </w:p>
  </w:endnote>
  <w:endnote w:type="continuationSeparator" w:id="0">
    <w:p w14:paraId="4097EE20" w14:textId="77777777" w:rsidR="0019389D" w:rsidRDefault="0019389D" w:rsidP="00D54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FDB0" w14:textId="77777777" w:rsidR="00D54C57" w:rsidRPr="002630AA" w:rsidRDefault="00D54C57" w:rsidP="00D54C57">
    <w:pPr>
      <w:pStyle w:val="Piedepgina"/>
      <w:jc w:val="center"/>
      <w:rPr>
        <w:rFonts w:ascii="Times New Roman" w:hAnsi="Times New Roman" w:cs="Times New Roman"/>
        <w:color w:val="000000" w:themeColor="text1"/>
        <w:sz w:val="24"/>
      </w:rPr>
    </w:pPr>
    <w:r>
      <w:rPr>
        <w:rFonts w:ascii="Times New Roman" w:hAnsi="Times New Roman" w:cs="Times New Roman"/>
        <w:noProof/>
        <w:color w:val="000000" w:themeColor="text1"/>
        <w:szCs w:val="20"/>
        <w:lang w:val="es-ES"/>
      </w:rPr>
      <w:drawing>
        <wp:anchor distT="0" distB="0" distL="114300" distR="114300" simplePos="0" relativeHeight="251659264" behindDoc="1" locked="0" layoutInCell="1" allowOverlap="1" wp14:anchorId="652C3582" wp14:editId="6C0DB4A2">
          <wp:simplePos x="0" y="0"/>
          <wp:positionH relativeFrom="column">
            <wp:posOffset>-1266825</wp:posOffset>
          </wp:positionH>
          <wp:positionV relativeFrom="paragraph">
            <wp:posOffset>-217171</wp:posOffset>
          </wp:positionV>
          <wp:extent cx="8343900" cy="1100071"/>
          <wp:effectExtent l="0" t="0" r="0" b="5080"/>
          <wp:wrapNone/>
          <wp:docPr id="984127615" name="Imagen 98412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 SALUD.jpeg"/>
                  <pic:cNvPicPr/>
                </pic:nvPicPr>
                <pic:blipFill>
                  <a:blip r:embed="rId1">
                    <a:extLst>
                      <a:ext uri="{28A0092B-C50C-407E-A947-70E740481C1C}">
                        <a14:useLocalDpi xmlns:a14="http://schemas.microsoft.com/office/drawing/2010/main" val="0"/>
                      </a:ext>
                    </a:extLst>
                  </a:blip>
                  <a:stretch>
                    <a:fillRect/>
                  </a:stretch>
                </pic:blipFill>
                <pic:spPr>
                  <a:xfrm>
                    <a:off x="0" y="0"/>
                    <a:ext cx="8400883" cy="1107584"/>
                  </a:xfrm>
                  <a:prstGeom prst="rect">
                    <a:avLst/>
                  </a:prstGeom>
                </pic:spPr>
              </pic:pic>
            </a:graphicData>
          </a:graphic>
          <wp14:sizeRelH relativeFrom="margin">
            <wp14:pctWidth>0</wp14:pctWidth>
          </wp14:sizeRelH>
          <wp14:sizeRelV relativeFrom="margin">
            <wp14:pctHeight>0</wp14:pctHeight>
          </wp14:sizeRelV>
        </wp:anchor>
      </w:drawing>
    </w:r>
    <w:r w:rsidRPr="002630AA">
      <w:rPr>
        <w:rFonts w:ascii="Times New Roman" w:hAnsi="Times New Roman" w:cs="Times New Roman"/>
        <w:color w:val="000000" w:themeColor="text1"/>
        <w:szCs w:val="20"/>
        <w:lang w:val="es-ES"/>
      </w:rPr>
      <w:t xml:space="preserve">pág. </w:t>
    </w:r>
    <w:r w:rsidRPr="002630AA">
      <w:rPr>
        <w:rFonts w:ascii="Times New Roman" w:hAnsi="Times New Roman" w:cs="Times New Roman"/>
        <w:color w:val="000000" w:themeColor="text1"/>
        <w:szCs w:val="20"/>
      </w:rPr>
      <w:fldChar w:fldCharType="begin"/>
    </w:r>
    <w:r w:rsidRPr="002630AA">
      <w:rPr>
        <w:rFonts w:ascii="Times New Roman" w:hAnsi="Times New Roman" w:cs="Times New Roman"/>
        <w:color w:val="000000" w:themeColor="text1"/>
        <w:szCs w:val="20"/>
      </w:rPr>
      <w:instrText>PAGE  \* Arabic</w:instrText>
    </w:r>
    <w:r w:rsidRPr="002630AA">
      <w:rPr>
        <w:rFonts w:ascii="Times New Roman" w:hAnsi="Times New Roman" w:cs="Times New Roman"/>
        <w:color w:val="000000" w:themeColor="text1"/>
        <w:szCs w:val="20"/>
      </w:rPr>
      <w:fldChar w:fldCharType="separate"/>
    </w:r>
    <w:r>
      <w:rPr>
        <w:rFonts w:ascii="Times New Roman" w:hAnsi="Times New Roman" w:cs="Times New Roman"/>
        <w:color w:val="000000" w:themeColor="text1"/>
        <w:szCs w:val="20"/>
      </w:rPr>
      <w:t>391</w:t>
    </w:r>
    <w:r w:rsidRPr="002630AA">
      <w:rPr>
        <w:rFonts w:ascii="Times New Roman" w:hAnsi="Times New Roman" w:cs="Times New Roman"/>
        <w:color w:val="000000" w:themeColor="tex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E283D" w14:textId="77777777" w:rsidR="0019389D" w:rsidRDefault="0019389D" w:rsidP="00D54C57">
      <w:pPr>
        <w:spacing w:after="0" w:line="240" w:lineRule="auto"/>
      </w:pPr>
      <w:r>
        <w:separator/>
      </w:r>
    </w:p>
  </w:footnote>
  <w:footnote w:type="continuationSeparator" w:id="0">
    <w:p w14:paraId="2F17437F" w14:textId="77777777" w:rsidR="0019389D" w:rsidRDefault="0019389D" w:rsidP="00D54C57">
      <w:pPr>
        <w:spacing w:after="0" w:line="240" w:lineRule="auto"/>
      </w:pPr>
      <w:r>
        <w:continuationSeparator/>
      </w:r>
    </w:p>
  </w:footnote>
  <w:footnote w:id="1">
    <w:p w14:paraId="6322761D" w14:textId="6E99C192" w:rsidR="002F6471" w:rsidRPr="002F6471" w:rsidRDefault="002F6471">
      <w:pPr>
        <w:pStyle w:val="Textonotapie"/>
        <w:rPr>
          <w:rFonts w:ascii="Times New Roman" w:hAnsi="Times New Roman" w:cs="Times New Roman"/>
          <w:sz w:val="18"/>
          <w:szCs w:val="18"/>
          <w:lang w:val="es-ES"/>
        </w:rPr>
      </w:pPr>
      <w:r w:rsidRPr="002F6471">
        <w:rPr>
          <w:rStyle w:val="Refdenotaalpie"/>
          <w:rFonts w:ascii="Times New Roman" w:hAnsi="Times New Roman" w:cs="Times New Roman"/>
          <w:sz w:val="18"/>
          <w:szCs w:val="18"/>
        </w:rPr>
        <w:footnoteRef/>
      </w:r>
      <w:r w:rsidRPr="002F6471">
        <w:rPr>
          <w:rFonts w:ascii="Times New Roman" w:hAnsi="Times New Roman" w:cs="Times New Roman"/>
          <w:sz w:val="18"/>
          <w:szCs w:val="18"/>
        </w:rPr>
        <w:t xml:space="preserve"> </w:t>
      </w:r>
      <w:r w:rsidRPr="002F6471">
        <w:rPr>
          <w:rFonts w:ascii="Times New Roman" w:hAnsi="Times New Roman" w:cs="Times New Roman"/>
          <w:sz w:val="18"/>
          <w:szCs w:val="18"/>
          <w:lang w:val="es-ES"/>
        </w:rPr>
        <w:t>Autor principal</w:t>
      </w:r>
    </w:p>
    <w:p w14:paraId="7DA81EE7" w14:textId="4B2681F5" w:rsidR="002F6471" w:rsidRPr="002F6471" w:rsidRDefault="002F6471" w:rsidP="002F6471">
      <w:pPr>
        <w:spacing w:after="0" w:line="276" w:lineRule="auto"/>
        <w:jc w:val="both"/>
        <w:rPr>
          <w:rFonts w:ascii="Times New Roman" w:hAnsi="Times New Roman" w:cs="Times New Roman"/>
          <w:lang w:val="en-US"/>
        </w:rPr>
      </w:pPr>
      <w:r w:rsidRPr="002F6471">
        <w:rPr>
          <w:rFonts w:ascii="Times New Roman" w:hAnsi="Times New Roman" w:cs="Times New Roman"/>
          <w:sz w:val="18"/>
          <w:szCs w:val="18"/>
          <w:lang w:val="es-ES"/>
        </w:rPr>
        <w:t xml:space="preserve">Correspondencia: </w:t>
      </w:r>
      <w:hyperlink r:id="rId1" w:history="1">
        <w:r w:rsidRPr="002F6471">
          <w:rPr>
            <w:rStyle w:val="Hipervnculo"/>
            <w:rFonts w:ascii="Times New Roman" w:hAnsi="Times New Roman" w:cs="Times New Roman"/>
            <w:sz w:val="18"/>
            <w:szCs w:val="18"/>
            <w:lang w:val="en-US"/>
          </w:rPr>
          <w:t>hiltoncantacarlos@hotmail.com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53E41"/>
    <w:multiLevelType w:val="hybridMultilevel"/>
    <w:tmpl w:val="D5F82FD6"/>
    <w:lvl w:ilvl="0" w:tplc="1D884B28">
      <w:start w:val="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 w15:restartNumberingAfterBreak="0">
    <w:nsid w:val="1E06769A"/>
    <w:multiLevelType w:val="hybridMultilevel"/>
    <w:tmpl w:val="4A5E5A90"/>
    <w:lvl w:ilvl="0" w:tplc="0409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15:restartNumberingAfterBreak="0">
    <w:nsid w:val="311D52D6"/>
    <w:multiLevelType w:val="hybridMultilevel"/>
    <w:tmpl w:val="6908B930"/>
    <w:lvl w:ilvl="0" w:tplc="0409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77AF5165"/>
    <w:multiLevelType w:val="multilevel"/>
    <w:tmpl w:val="FCC48EF4"/>
    <w:styleLink w:val="ra"/>
    <w:lvl w:ilvl="0">
      <w:start w:val="1"/>
      <w:numFmt w:val="decimal"/>
      <w:lvlText w:val="%1.3"/>
      <w:lvlJc w:val="left"/>
      <w:pPr>
        <w:ind w:left="360" w:hanging="360"/>
      </w:pPr>
      <w:rPr>
        <w:rFonts w:hint="default"/>
      </w:rPr>
    </w:lvl>
    <w:lvl w:ilvl="1">
      <w:start w:val="1"/>
      <w:numFmt w:val="decimal"/>
      <w:lvlText w:val="1.3.%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44686401">
    <w:abstractNumId w:val="3"/>
  </w:num>
  <w:num w:numId="2" w16cid:durableId="358511999">
    <w:abstractNumId w:val="0"/>
  </w:num>
  <w:num w:numId="3" w16cid:durableId="308436004">
    <w:abstractNumId w:val="1"/>
  </w:num>
  <w:num w:numId="4" w16cid:durableId="63529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BB"/>
    <w:rsid w:val="00000F64"/>
    <w:rsid w:val="000014BB"/>
    <w:rsid w:val="00004C6A"/>
    <w:rsid w:val="000114B2"/>
    <w:rsid w:val="00032DD2"/>
    <w:rsid w:val="000540D6"/>
    <w:rsid w:val="000B6096"/>
    <w:rsid w:val="000D0849"/>
    <w:rsid w:val="000D22B7"/>
    <w:rsid w:val="000D376B"/>
    <w:rsid w:val="000D75E6"/>
    <w:rsid w:val="000D7AFC"/>
    <w:rsid w:val="00103C2B"/>
    <w:rsid w:val="00107FF4"/>
    <w:rsid w:val="00145F65"/>
    <w:rsid w:val="001612EE"/>
    <w:rsid w:val="0016137D"/>
    <w:rsid w:val="00173F3F"/>
    <w:rsid w:val="00183214"/>
    <w:rsid w:val="0018557F"/>
    <w:rsid w:val="0019389D"/>
    <w:rsid w:val="001964ED"/>
    <w:rsid w:val="001A2B3B"/>
    <w:rsid w:val="001B4576"/>
    <w:rsid w:val="001B7645"/>
    <w:rsid w:val="001E657C"/>
    <w:rsid w:val="001F16DB"/>
    <w:rsid w:val="001F199F"/>
    <w:rsid w:val="001F3EAE"/>
    <w:rsid w:val="00200DB1"/>
    <w:rsid w:val="0021065A"/>
    <w:rsid w:val="00235C88"/>
    <w:rsid w:val="002B2499"/>
    <w:rsid w:val="002E21A9"/>
    <w:rsid w:val="002F6471"/>
    <w:rsid w:val="00303774"/>
    <w:rsid w:val="00376121"/>
    <w:rsid w:val="00376AAC"/>
    <w:rsid w:val="00393B4F"/>
    <w:rsid w:val="003B17CF"/>
    <w:rsid w:val="0040337D"/>
    <w:rsid w:val="004702BC"/>
    <w:rsid w:val="004706D8"/>
    <w:rsid w:val="004A2063"/>
    <w:rsid w:val="004E168E"/>
    <w:rsid w:val="00501848"/>
    <w:rsid w:val="00501D50"/>
    <w:rsid w:val="00533062"/>
    <w:rsid w:val="00541CAC"/>
    <w:rsid w:val="00547B86"/>
    <w:rsid w:val="0055134A"/>
    <w:rsid w:val="00553787"/>
    <w:rsid w:val="005603D6"/>
    <w:rsid w:val="00560701"/>
    <w:rsid w:val="005635E4"/>
    <w:rsid w:val="005704F3"/>
    <w:rsid w:val="00570BA4"/>
    <w:rsid w:val="005910E2"/>
    <w:rsid w:val="005A0C6B"/>
    <w:rsid w:val="005C1221"/>
    <w:rsid w:val="005C36CA"/>
    <w:rsid w:val="005F6F21"/>
    <w:rsid w:val="00604677"/>
    <w:rsid w:val="006455C5"/>
    <w:rsid w:val="00650794"/>
    <w:rsid w:val="006524AD"/>
    <w:rsid w:val="006D5601"/>
    <w:rsid w:val="006E4DAE"/>
    <w:rsid w:val="006F30D2"/>
    <w:rsid w:val="00700C4E"/>
    <w:rsid w:val="007119A5"/>
    <w:rsid w:val="00711B64"/>
    <w:rsid w:val="0072289E"/>
    <w:rsid w:val="00756E4C"/>
    <w:rsid w:val="00757E1B"/>
    <w:rsid w:val="00761058"/>
    <w:rsid w:val="00764D7D"/>
    <w:rsid w:val="00771266"/>
    <w:rsid w:val="00792B25"/>
    <w:rsid w:val="0079334A"/>
    <w:rsid w:val="00795F63"/>
    <w:rsid w:val="007A1945"/>
    <w:rsid w:val="007D144E"/>
    <w:rsid w:val="007D7553"/>
    <w:rsid w:val="007E2E2E"/>
    <w:rsid w:val="007E6238"/>
    <w:rsid w:val="007F5C2D"/>
    <w:rsid w:val="00805AD4"/>
    <w:rsid w:val="00831A8F"/>
    <w:rsid w:val="00842ADD"/>
    <w:rsid w:val="008663AF"/>
    <w:rsid w:val="008724B5"/>
    <w:rsid w:val="00880C46"/>
    <w:rsid w:val="00880EE7"/>
    <w:rsid w:val="00883C3A"/>
    <w:rsid w:val="008E6E36"/>
    <w:rsid w:val="008F7786"/>
    <w:rsid w:val="00900F95"/>
    <w:rsid w:val="009038D6"/>
    <w:rsid w:val="00935F02"/>
    <w:rsid w:val="0099644C"/>
    <w:rsid w:val="009979D0"/>
    <w:rsid w:val="009A51D3"/>
    <w:rsid w:val="009B10E4"/>
    <w:rsid w:val="009B6E3F"/>
    <w:rsid w:val="009C7E38"/>
    <w:rsid w:val="009D05F9"/>
    <w:rsid w:val="009D467A"/>
    <w:rsid w:val="009E2532"/>
    <w:rsid w:val="009F4CAD"/>
    <w:rsid w:val="009F6D80"/>
    <w:rsid w:val="00A317B7"/>
    <w:rsid w:val="00A31B76"/>
    <w:rsid w:val="00A33F5D"/>
    <w:rsid w:val="00A41835"/>
    <w:rsid w:val="00A508CC"/>
    <w:rsid w:val="00A62588"/>
    <w:rsid w:val="00AA2994"/>
    <w:rsid w:val="00AA4CBC"/>
    <w:rsid w:val="00AB25BA"/>
    <w:rsid w:val="00AB2CBC"/>
    <w:rsid w:val="00AF4679"/>
    <w:rsid w:val="00B02E1F"/>
    <w:rsid w:val="00B2305E"/>
    <w:rsid w:val="00B40202"/>
    <w:rsid w:val="00B458A3"/>
    <w:rsid w:val="00B539E3"/>
    <w:rsid w:val="00B57E34"/>
    <w:rsid w:val="00B820D2"/>
    <w:rsid w:val="00B96F4D"/>
    <w:rsid w:val="00BA5A39"/>
    <w:rsid w:val="00BB451E"/>
    <w:rsid w:val="00BE33FC"/>
    <w:rsid w:val="00C0054A"/>
    <w:rsid w:val="00C01E69"/>
    <w:rsid w:val="00C329AF"/>
    <w:rsid w:val="00C37D77"/>
    <w:rsid w:val="00C5680D"/>
    <w:rsid w:val="00C671F8"/>
    <w:rsid w:val="00C865D6"/>
    <w:rsid w:val="00C97945"/>
    <w:rsid w:val="00C97C9C"/>
    <w:rsid w:val="00CA5531"/>
    <w:rsid w:val="00CA5DE8"/>
    <w:rsid w:val="00CA6067"/>
    <w:rsid w:val="00CD6654"/>
    <w:rsid w:val="00CE433A"/>
    <w:rsid w:val="00CE536C"/>
    <w:rsid w:val="00CF30F2"/>
    <w:rsid w:val="00CF521F"/>
    <w:rsid w:val="00D12938"/>
    <w:rsid w:val="00D4262C"/>
    <w:rsid w:val="00D50E23"/>
    <w:rsid w:val="00D532B8"/>
    <w:rsid w:val="00D54C57"/>
    <w:rsid w:val="00D86472"/>
    <w:rsid w:val="00D947B5"/>
    <w:rsid w:val="00DA1EC3"/>
    <w:rsid w:val="00DB24E6"/>
    <w:rsid w:val="00DB5BEB"/>
    <w:rsid w:val="00DC5D2A"/>
    <w:rsid w:val="00DE5922"/>
    <w:rsid w:val="00DF3C65"/>
    <w:rsid w:val="00DF3F53"/>
    <w:rsid w:val="00E03BDF"/>
    <w:rsid w:val="00E37F8C"/>
    <w:rsid w:val="00E40997"/>
    <w:rsid w:val="00E7090B"/>
    <w:rsid w:val="00E70C8F"/>
    <w:rsid w:val="00E72302"/>
    <w:rsid w:val="00EA270B"/>
    <w:rsid w:val="00EB4850"/>
    <w:rsid w:val="00EC4EAA"/>
    <w:rsid w:val="00EE6D8B"/>
    <w:rsid w:val="00EF3124"/>
    <w:rsid w:val="00EF6F57"/>
    <w:rsid w:val="00F040CB"/>
    <w:rsid w:val="00F56822"/>
    <w:rsid w:val="00FB75ED"/>
    <w:rsid w:val="00FD6B56"/>
    <w:rsid w:val="00FE7EFC"/>
    <w:rsid w:val="00FF5A5D"/>
    <w:rsid w:val="00FF76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44010"/>
  <w14:defaultImageDpi w14:val="32767"/>
  <w15:chartTrackingRefBased/>
  <w15:docId w15:val="{D4EA420F-AB0B-40D1-BBCB-4003ACC5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B76"/>
    <w:rPr>
      <w:lang w:val="es-MX"/>
    </w:rPr>
  </w:style>
  <w:style w:type="paragraph" w:styleId="Ttulo1">
    <w:name w:val="heading 1"/>
    <w:basedOn w:val="Normal"/>
    <w:next w:val="Normal"/>
    <w:link w:val="Ttulo1Car"/>
    <w:uiPriority w:val="9"/>
    <w:qFormat/>
    <w:rsid w:val="006455C5"/>
    <w:pPr>
      <w:keepNext/>
      <w:keepLines/>
      <w:spacing w:before="360" w:after="80"/>
      <w:outlineLvl w:val="0"/>
    </w:pPr>
    <w:rPr>
      <w:rFonts w:asciiTheme="majorHAnsi" w:eastAsiaTheme="majorEastAsia" w:hAnsiTheme="majorHAnsi" w:cstheme="majorBidi"/>
      <w:color w:val="2F5496" w:themeColor="accent1" w:themeShade="BF"/>
      <w:kern w:val="0"/>
      <w:sz w:val="40"/>
      <w:szCs w:val="40"/>
      <w:lang w:val="es-PE"/>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603D6"/>
    <w:pPr>
      <w:spacing w:after="0" w:line="240" w:lineRule="auto"/>
    </w:pPr>
    <w:rPr>
      <w:rFonts w:ascii="Mangal" w:eastAsia="Constantia" w:hAnsi="Mangal" w:cs="Times New Roman"/>
      <w:sz w:val="20"/>
      <w:szCs w:val="20"/>
      <w:lang w:val="es-PE" w:eastAsia="es-PE"/>
    </w:rPr>
  </w:style>
  <w:style w:type="character" w:customStyle="1" w:styleId="SinespaciadoCar">
    <w:name w:val="Sin espaciado Car"/>
    <w:link w:val="Sinespaciado"/>
    <w:uiPriority w:val="1"/>
    <w:rsid w:val="005603D6"/>
    <w:rPr>
      <w:rFonts w:ascii="Mangal" w:eastAsia="Constantia" w:hAnsi="Mangal" w:cs="Times New Roman"/>
      <w:sz w:val="20"/>
      <w:szCs w:val="20"/>
      <w:lang w:val="es-PE" w:eastAsia="es-PE"/>
    </w:rPr>
  </w:style>
  <w:style w:type="numbering" w:customStyle="1" w:styleId="ra">
    <w:name w:val="ra"/>
    <w:uiPriority w:val="99"/>
    <w:rsid w:val="00F040CB"/>
    <w:pPr>
      <w:numPr>
        <w:numId w:val="1"/>
      </w:numPr>
    </w:pPr>
  </w:style>
  <w:style w:type="character" w:customStyle="1" w:styleId="paraparrafostextoslibro">
    <w:name w:val="para parrafos textos libro"/>
    <w:basedOn w:val="Fuentedeprrafopredeter"/>
    <w:rsid w:val="008E6E36"/>
    <w:rPr>
      <w:rFonts w:ascii="Georgia" w:hAnsi="Georgia"/>
      <w:sz w:val="22"/>
    </w:rPr>
  </w:style>
  <w:style w:type="paragraph" w:styleId="Prrafodelista">
    <w:name w:val="List Paragraph"/>
    <w:basedOn w:val="Normal"/>
    <w:link w:val="PrrafodelistaCar"/>
    <w:uiPriority w:val="34"/>
    <w:qFormat/>
    <w:rsid w:val="00A317B7"/>
    <w:pPr>
      <w:ind w:left="720"/>
      <w:contextualSpacing/>
    </w:pPr>
  </w:style>
  <w:style w:type="character" w:styleId="Refdecomentario">
    <w:name w:val="annotation reference"/>
    <w:basedOn w:val="Fuentedeprrafopredeter"/>
    <w:uiPriority w:val="99"/>
    <w:semiHidden/>
    <w:unhideWhenUsed/>
    <w:rsid w:val="001A2B3B"/>
    <w:rPr>
      <w:sz w:val="16"/>
      <w:szCs w:val="16"/>
    </w:rPr>
  </w:style>
  <w:style w:type="paragraph" w:styleId="Textocomentario">
    <w:name w:val="annotation text"/>
    <w:basedOn w:val="Normal"/>
    <w:link w:val="TextocomentarioCar"/>
    <w:uiPriority w:val="99"/>
    <w:semiHidden/>
    <w:unhideWhenUsed/>
    <w:rsid w:val="001A2B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2B3B"/>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1A2B3B"/>
    <w:rPr>
      <w:b/>
      <w:bCs/>
    </w:rPr>
  </w:style>
  <w:style w:type="character" w:customStyle="1" w:styleId="AsuntodelcomentarioCar">
    <w:name w:val="Asunto del comentario Car"/>
    <w:basedOn w:val="TextocomentarioCar"/>
    <w:link w:val="Asuntodelcomentario"/>
    <w:uiPriority w:val="99"/>
    <w:semiHidden/>
    <w:rsid w:val="001A2B3B"/>
    <w:rPr>
      <w:b/>
      <w:bCs/>
      <w:sz w:val="20"/>
      <w:szCs w:val="20"/>
      <w:lang w:val="es-MX"/>
    </w:rPr>
  </w:style>
  <w:style w:type="table" w:styleId="Tablaconcuadrcula">
    <w:name w:val="Table Grid"/>
    <w:basedOn w:val="Tablanormal"/>
    <w:uiPriority w:val="59"/>
    <w:rsid w:val="001A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rincipal">
    <w:name w:val="Título principal"/>
    <w:basedOn w:val="Normal"/>
    <w:qFormat/>
    <w:rsid w:val="00900F95"/>
    <w:pPr>
      <w:spacing w:line="360" w:lineRule="auto"/>
      <w:jc w:val="center"/>
    </w:pPr>
    <w:rPr>
      <w:rFonts w:ascii="Times New Roman" w:eastAsia="Times New Roman" w:hAnsi="Times New Roman" w:cs="Times New Roman"/>
      <w:b/>
      <w:bCs/>
      <w:kern w:val="0"/>
      <w:sz w:val="28"/>
      <w:szCs w:val="20"/>
      <w:lang w:val="es-ES"/>
      <w14:ligatures w14:val="none"/>
    </w:rPr>
  </w:style>
  <w:style w:type="paragraph" w:styleId="NormalWeb">
    <w:name w:val="Normal (Web)"/>
    <w:basedOn w:val="Normal"/>
    <w:uiPriority w:val="99"/>
    <w:semiHidden/>
    <w:unhideWhenUsed/>
    <w:rsid w:val="000D22B7"/>
    <w:pPr>
      <w:spacing w:before="100" w:beforeAutospacing="1" w:after="100" w:afterAutospacing="1" w:line="240" w:lineRule="auto"/>
    </w:pPr>
    <w:rPr>
      <w:rFonts w:ascii="Times New Roman" w:eastAsia="Times New Roman" w:hAnsi="Times New Roman" w:cs="Times New Roman"/>
      <w:kern w:val="0"/>
      <w:sz w:val="24"/>
      <w:szCs w:val="24"/>
      <w:lang w:val="es-PY" w:eastAsia="es-PY"/>
      <w14:ligatures w14:val="none"/>
    </w:rPr>
  </w:style>
  <w:style w:type="character" w:styleId="Hipervnculo">
    <w:name w:val="Hyperlink"/>
    <w:basedOn w:val="Fuentedeprrafopredeter"/>
    <w:uiPriority w:val="99"/>
    <w:unhideWhenUsed/>
    <w:rsid w:val="00711B64"/>
    <w:rPr>
      <w:color w:val="0563C1" w:themeColor="hyperlink"/>
      <w:u w:val="single"/>
    </w:rPr>
  </w:style>
  <w:style w:type="paragraph" w:styleId="Descripcin">
    <w:name w:val="caption"/>
    <w:basedOn w:val="Normal"/>
    <w:next w:val="Normal"/>
    <w:uiPriority w:val="35"/>
    <w:unhideWhenUsed/>
    <w:qFormat/>
    <w:rsid w:val="00DC5D2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DC5D2A"/>
    <w:pPr>
      <w:spacing w:after="0"/>
    </w:pPr>
  </w:style>
  <w:style w:type="character" w:customStyle="1" w:styleId="Ttulo1Car">
    <w:name w:val="Título 1 Car"/>
    <w:basedOn w:val="Fuentedeprrafopredeter"/>
    <w:link w:val="Ttulo1"/>
    <w:uiPriority w:val="9"/>
    <w:rsid w:val="006455C5"/>
    <w:rPr>
      <w:rFonts w:asciiTheme="majorHAnsi" w:eastAsiaTheme="majorEastAsia" w:hAnsiTheme="majorHAnsi" w:cstheme="majorBidi"/>
      <w:color w:val="2F5496" w:themeColor="accent1" w:themeShade="BF"/>
      <w:kern w:val="0"/>
      <w:sz w:val="40"/>
      <w:szCs w:val="40"/>
      <w:lang w:val="es-PE"/>
      <w14:ligatures w14:val="none"/>
    </w:rPr>
  </w:style>
  <w:style w:type="character" w:customStyle="1" w:styleId="PrrafodelistaCar">
    <w:name w:val="Párrafo de lista Car"/>
    <w:link w:val="Prrafodelista"/>
    <w:uiPriority w:val="34"/>
    <w:locked/>
    <w:rsid w:val="00032DD2"/>
    <w:rPr>
      <w:lang w:val="es-MX"/>
    </w:rPr>
  </w:style>
  <w:style w:type="character" w:customStyle="1" w:styleId="CharAttribute9">
    <w:name w:val="CharAttribute9"/>
    <w:rsid w:val="00032DD2"/>
    <w:rPr>
      <w:rFonts w:ascii="Arial" w:eastAsia="Arial" w:hAnsi="Arial"/>
      <w:b/>
      <w:sz w:val="24"/>
    </w:rPr>
  </w:style>
  <w:style w:type="paragraph" w:styleId="Encabezado">
    <w:name w:val="header"/>
    <w:basedOn w:val="Normal"/>
    <w:link w:val="EncabezadoCar"/>
    <w:uiPriority w:val="99"/>
    <w:unhideWhenUsed/>
    <w:rsid w:val="00D54C5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4C57"/>
    <w:rPr>
      <w:lang w:val="es-MX"/>
    </w:rPr>
  </w:style>
  <w:style w:type="paragraph" w:styleId="Piedepgina">
    <w:name w:val="footer"/>
    <w:basedOn w:val="Normal"/>
    <w:link w:val="PiedepginaCar"/>
    <w:uiPriority w:val="99"/>
    <w:unhideWhenUsed/>
    <w:rsid w:val="00D54C5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4C57"/>
    <w:rPr>
      <w:lang w:val="es-MX"/>
    </w:rPr>
  </w:style>
  <w:style w:type="paragraph" w:styleId="Textonotapie">
    <w:name w:val="footnote text"/>
    <w:basedOn w:val="Normal"/>
    <w:link w:val="TextonotapieCar"/>
    <w:uiPriority w:val="99"/>
    <w:semiHidden/>
    <w:unhideWhenUsed/>
    <w:rsid w:val="002F647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6471"/>
    <w:rPr>
      <w:sz w:val="20"/>
      <w:szCs w:val="20"/>
      <w:lang w:val="es-MX"/>
    </w:rPr>
  </w:style>
  <w:style w:type="character" w:styleId="Refdenotaalpie">
    <w:name w:val="footnote reference"/>
    <w:basedOn w:val="Fuentedeprrafopredeter"/>
    <w:uiPriority w:val="99"/>
    <w:semiHidden/>
    <w:unhideWhenUsed/>
    <w:rsid w:val="002F6471"/>
    <w:rPr>
      <w:vertAlign w:val="superscript"/>
    </w:rPr>
  </w:style>
  <w:style w:type="character" w:styleId="Mencinsinresolver">
    <w:name w:val="Unresolved Mention"/>
    <w:basedOn w:val="Fuentedeprrafopredeter"/>
    <w:uiPriority w:val="99"/>
    <w:semiHidden/>
    <w:unhideWhenUsed/>
    <w:rsid w:val="00210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627786">
      <w:bodyDiv w:val="1"/>
      <w:marLeft w:val="0"/>
      <w:marRight w:val="0"/>
      <w:marTop w:val="0"/>
      <w:marBottom w:val="0"/>
      <w:divBdr>
        <w:top w:val="none" w:sz="0" w:space="0" w:color="auto"/>
        <w:left w:val="none" w:sz="0" w:space="0" w:color="auto"/>
        <w:bottom w:val="none" w:sz="0" w:space="0" w:color="auto"/>
        <w:right w:val="none" w:sz="0" w:space="0" w:color="auto"/>
      </w:divBdr>
      <w:divsChild>
        <w:div w:id="472603092">
          <w:marLeft w:val="0"/>
          <w:marRight w:val="0"/>
          <w:marTop w:val="0"/>
          <w:marBottom w:val="0"/>
          <w:divBdr>
            <w:top w:val="single" w:sz="2" w:space="0" w:color="auto"/>
            <w:left w:val="single" w:sz="2" w:space="0" w:color="auto"/>
            <w:bottom w:val="single" w:sz="6" w:space="0" w:color="auto"/>
            <w:right w:val="single" w:sz="2" w:space="0" w:color="auto"/>
          </w:divBdr>
          <w:divsChild>
            <w:div w:id="1595942365">
              <w:marLeft w:val="0"/>
              <w:marRight w:val="0"/>
              <w:marTop w:val="100"/>
              <w:marBottom w:val="100"/>
              <w:divBdr>
                <w:top w:val="single" w:sz="2" w:space="0" w:color="D9D9E3"/>
                <w:left w:val="single" w:sz="2" w:space="0" w:color="D9D9E3"/>
                <w:bottom w:val="single" w:sz="2" w:space="0" w:color="D9D9E3"/>
                <w:right w:val="single" w:sz="2" w:space="0" w:color="D9D9E3"/>
              </w:divBdr>
              <w:divsChild>
                <w:div w:id="1045713691">
                  <w:marLeft w:val="0"/>
                  <w:marRight w:val="0"/>
                  <w:marTop w:val="0"/>
                  <w:marBottom w:val="0"/>
                  <w:divBdr>
                    <w:top w:val="single" w:sz="2" w:space="0" w:color="D9D9E3"/>
                    <w:left w:val="single" w:sz="2" w:space="0" w:color="D9D9E3"/>
                    <w:bottom w:val="single" w:sz="2" w:space="0" w:color="D9D9E3"/>
                    <w:right w:val="single" w:sz="2" w:space="0" w:color="D9D9E3"/>
                  </w:divBdr>
                  <w:divsChild>
                    <w:div w:id="1462726475">
                      <w:marLeft w:val="0"/>
                      <w:marRight w:val="0"/>
                      <w:marTop w:val="0"/>
                      <w:marBottom w:val="0"/>
                      <w:divBdr>
                        <w:top w:val="single" w:sz="2" w:space="0" w:color="D9D9E3"/>
                        <w:left w:val="single" w:sz="2" w:space="0" w:color="D9D9E3"/>
                        <w:bottom w:val="single" w:sz="2" w:space="0" w:color="D9D9E3"/>
                        <w:right w:val="single" w:sz="2" w:space="0" w:color="D9D9E3"/>
                      </w:divBdr>
                      <w:divsChild>
                        <w:div w:id="1141537546">
                          <w:marLeft w:val="0"/>
                          <w:marRight w:val="0"/>
                          <w:marTop w:val="0"/>
                          <w:marBottom w:val="0"/>
                          <w:divBdr>
                            <w:top w:val="single" w:sz="2" w:space="0" w:color="D9D9E3"/>
                            <w:left w:val="single" w:sz="2" w:space="0" w:color="D9D9E3"/>
                            <w:bottom w:val="single" w:sz="2" w:space="0" w:color="D9D9E3"/>
                            <w:right w:val="single" w:sz="2" w:space="0" w:color="D9D9E3"/>
                          </w:divBdr>
                          <w:divsChild>
                            <w:div w:id="71898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678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positorio.unbosque.edu.co/server/api/core/bitstreams/ecfd2fb3-e120-4faa-9bd2-7b43b281dc6e/content" TargetMode="External"/><Relationship Id="rId18" Type="http://schemas.openxmlformats.org/officeDocument/2006/relationships/hyperlink" Target="https://dialnet.unirioja.es/servlet/articulo?codigo=9445689" TargetMode="External"/><Relationship Id="rId26" Type="http://schemas.openxmlformats.org/officeDocument/2006/relationships/hyperlink" Target="https://www.ncbi.nlm.nih.gov/pmc/articles/PMC7925795/pdf/13197_2020_Article_4661.pdf" TargetMode="External"/><Relationship Id="rId3" Type="http://schemas.openxmlformats.org/officeDocument/2006/relationships/styles" Target="styles.xml"/><Relationship Id="rId21" Type="http://schemas.openxmlformats.org/officeDocument/2006/relationships/hyperlink" Target="http://dspace.unach.edu.ec/bitstream/51000/11253/1/Lobato%20Cabrera%2c%20A%20%282023%29%20La%20caries%20y%20placa%20bacteriana%20con%20relaci%c3%b3n%20a%20los%20aspectos%20sociofamiliares%20%28Tesis%20de%20Pregrado%29Universidad%20Nacional%20de%20Chimborazo%2c%20Riobamba%2c%20Ecuador%29.pdf" TargetMode="External"/><Relationship Id="rId7" Type="http://schemas.openxmlformats.org/officeDocument/2006/relationships/endnotes" Target="endnotes.xml"/><Relationship Id="rId12" Type="http://schemas.openxmlformats.org/officeDocument/2006/relationships/hyperlink" Target="https://orcid.org/0000-0002-8802-831X" TargetMode="External"/><Relationship Id="rId17" Type="http://schemas.openxmlformats.org/officeDocument/2006/relationships/hyperlink" Target="https://dialnet.unirioja.es/servlet/articulo?codigo=7248978" TargetMode="External"/><Relationship Id="rId25" Type="http://schemas.openxmlformats.org/officeDocument/2006/relationships/hyperlink" Target="https://www.researchgate.net/publication/355191811_Sabila_Aloe_vera_propiedades_usos_y_problemas" TargetMode="External"/><Relationship Id="rId2" Type="http://schemas.openxmlformats.org/officeDocument/2006/relationships/numbering" Target="numbering.xml"/><Relationship Id="rId16" Type="http://schemas.openxmlformats.org/officeDocument/2006/relationships/hyperlink" Target="https://dialnet.unirioja.es/servlet/articulo?codigo=8159801" TargetMode="External"/><Relationship Id="rId20" Type="http://schemas.openxmlformats.org/officeDocument/2006/relationships/hyperlink" Target="https://repositorio.ecci.edu.co/bitstream/handle/001/3606/Trabajo%20de%20grado.pdf?sequence=1&amp;isAllowed=y" TargetMode="External"/><Relationship Id="rId29" Type="http://schemas.openxmlformats.org/officeDocument/2006/relationships/hyperlink" Target="https://dspace.uniandes.edu.ec/bitstream/123456789/16266/1/UA-ODO-EAC-033-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ltoncantacarlos@hotmail.com" TargetMode="External"/><Relationship Id="rId24" Type="http://schemas.openxmlformats.org/officeDocument/2006/relationships/hyperlink" Target="http://repositorio.ucp.edu.pe:8080/server/api/core/bitstreams/4cc252a6-49f5-45cd-a376-9468faeb4baa/conte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space.unl.edu.ec/jspui/bitstream/123456789/24388/1/StefaniaCarolina_ArciniegaAguilar%281%29.pdf" TargetMode="External"/><Relationship Id="rId23" Type="http://schemas.openxmlformats.org/officeDocument/2006/relationships/hyperlink" Target="https://iris.who.int/bitstream/handle/10665/364907/9789240061880-spa.pdf?sequence=1" TargetMode="External"/><Relationship Id="rId28" Type="http://schemas.openxmlformats.org/officeDocument/2006/relationships/hyperlink" Target="https://www.scielosp.org/pdf/rpmesp/2019.v36n4/653-657/es" TargetMode="External"/><Relationship Id="rId10" Type="http://schemas.openxmlformats.org/officeDocument/2006/relationships/hyperlink" Target="https://doi.org/10.37811/cl_rcm.v10i3.24027" TargetMode="External"/><Relationship Id="rId19" Type="http://schemas.openxmlformats.org/officeDocument/2006/relationships/hyperlink" Target="https://repositorio.ucv.edu.pe/bitstream/handle/20.500.12692/51854/Guerra_CKT-Guzman_RKMX-SD.pdf?sequence=1&amp;isAllowed=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ielo.org.pe/scielo.php?script=sci_arttext&amp;pid=S230805312023000100110" TargetMode="External"/><Relationship Id="rId22" Type="http://schemas.openxmlformats.org/officeDocument/2006/relationships/hyperlink" Target="https://revistas.unisimon.edu.co/index.php/innovacionsalud/article/view/4754/5257" TargetMode="External"/><Relationship Id="rId27" Type="http://schemas.openxmlformats.org/officeDocument/2006/relationships/hyperlink" Target="https://polodelconocimiento.com/ojs/index.php/es/article/view/4735/11381"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mailto:hiltoncantacarlos@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E30A1-285C-4502-9C12-AB219939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5393</Words>
  <Characters>29666</Characters>
  <Application>Microsoft Office Word</Application>
  <DocSecurity>0</DocSecurity>
  <Lines>247</Lines>
  <Paragraphs>69</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/DOI:</vt:lpstr>
      <vt:lpstr>Efectividad del enjuague bucal aloe vera al 50% y la clorhexidina al 0.12% para </vt:lpstr>
      <vt:lpstr>RESULTADOS Y DISCUSIÓN</vt:lpstr>
    </vt:vector>
  </TitlesOfParts>
  <Company/>
  <LinksUpToDate>false</LinksUpToDate>
  <CharactersWithSpaces>34990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Ciencia Latina</dc:creator>
  <cp:keywords/>
  <dc:description/>
  <cp:lastModifiedBy>Erika Rojas</cp:lastModifiedBy>
  <cp:revision>6</cp:revision>
  <cp:lastPrinted>2026-06-01T12:11:00Z</cp:lastPrinted>
  <dcterms:created xsi:type="dcterms:W3CDTF">2026-05-16T16:12:00Z</dcterms:created>
  <dcterms:modified xsi:type="dcterms:W3CDTF">2026-06-01T12:11:00Z</dcterms:modified>
</cp:coreProperties>
</file>